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4047389.xml.htm"/>
      <w:bookmarkStart w:id="1" w:name="kswkform4a_17840473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NAGARAJAN NEAL KANTH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CENTRUS ENERGY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6901 ROCKLEDGE DRIVE,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CENTRUS ENERGY CORP</w:t>
              </w:r>
            </w:hyperlink>
            <w:r>
              <w:rPr/>
              <w:t xml:space="preserve"> [ </w:t>
            </w:r>
            <w:r>
              <w:rPr>
                <w:rFonts w:ascii="Times;serif" w:hAnsi="Times;serif"/>
                <w:color w:val="0000FF"/>
                <w:sz w:val="24"/>
                <w:shd w:fill="FFFFFF" w:val="clear"/>
              </w:rPr>
              <w:t>LEU</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Head Investor Relations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06/22/2026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449</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RSU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150 RSUs shall become respectively vested on each of March 15, 2027, and March 15, 2028, with all remaining RSUs vesting on March 15, 2029, provided that Grantee has been continuously employed with the Company from the date hereof through each of the corresponding vesting dates identified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Vested shares will be delivered to the reporting person as soon as administratively practicable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original Form 4, filed on June 22, 2026, is being amended by this Form 4 amendment solely to correct an administrative error on Table II, #9, to correct the holding balance.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Richard Emery,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6138" TargetMode="External"/><Relationship Id="rId5" Type="http://schemas.openxmlformats.org/officeDocument/2006/relationships/hyperlink" Target="http://www.sec.gov/cgi-bin/browse-edgar?action=getcompany&amp;CIK=00010650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3697</Characters>
  <CharactersWithSpaces>4322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