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920115</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877570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780"/>
        <w:spacing w:after="0"/>
        <w:rPr>
          <w:sz w:val="20"/>
          <w:szCs w:val="20"/>
          <w:color w:val="auto"/>
        </w:rPr>
      </w:pPr>
      <w:r>
        <w:rPr>
          <w:rFonts w:ascii="Times New Roman" w:cs="Times New Roman" w:eastAsia="Times New Roman" w:hAnsi="Times New Roman"/>
          <w:sz w:val="20"/>
          <w:szCs w:val="20"/>
          <w:color w:val="C0C0C0"/>
        </w:rPr>
        <w:t>_________________</w:t>
      </w:r>
    </w:p>
    <w:p>
      <w:pPr>
        <w:spacing w:after="0" w:line="2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8-A/A</w:t>
      </w:r>
    </w:p>
    <w:p>
      <w:pPr>
        <w:spacing w:after="0" w:line="20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Amendment No. 6</w:t>
      </w:r>
    </w:p>
    <w:p>
      <w:pPr>
        <w:spacing w:after="0" w:line="2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FOR REGISTRATION OF CERTAIN CLASSES OF SECURITIES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PURSUANT TO SECTION 12(b) OR (g) OF THE</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Centrus Energy Corp.</w:t>
      </w:r>
    </w:p>
    <w:p>
      <w:pPr>
        <w:spacing w:after="0" w:line="5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36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52-2107911</w:t>
      </w:r>
    </w:p>
    <w:p>
      <w:pPr>
        <w:spacing w:after="0" w:line="42" w:lineRule="exact"/>
        <w:rPr>
          <w:sz w:val="24"/>
          <w:szCs w:val="24"/>
          <w:color w:val="auto"/>
        </w:rPr>
      </w:pPr>
    </w:p>
    <w:p>
      <w:pPr>
        <w:sectPr>
          <w:pgSz w:w="11900" w:h="16838" w:orient="portrait"/>
          <w:cols w:equalWidth="0" w:num="2">
            <w:col w:w="6820" w:space="720"/>
            <w:col w:w="3560"/>
          </w:cols>
          <w:pgMar w:left="320" w:top="1440" w:right="47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2">
            <w:col w:w="6040" w:space="720"/>
            <w:col w:w="4340"/>
          </w:cols>
          <w:pgMar w:left="320" w:top="1440" w:right="479" w:bottom="1440" w:gutter="0" w:footer="0" w:header="0"/>
          <w:type w:val="continuous"/>
        </w:sectPr>
      </w:pPr>
    </w:p>
    <w:p>
      <w:pPr>
        <w:spacing w:after="0" w:line="1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6901 Rockledge Drive, Suite 800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Bethesda, MD 20817</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(301) 564-3200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p>
      <w:pPr>
        <w:spacing w:after="0" w:line="127" w:lineRule="exact"/>
        <w:rPr>
          <w:sz w:val="24"/>
          <w:szCs w:val="24"/>
          <w:color w:val="auto"/>
        </w:rPr>
      </w:pPr>
    </w:p>
    <w:tbl>
      <w:tblPr>
        <w:tblLayout w:type="fixed"/>
        <w:tblInd w:w="920" w:type="dxa"/>
        <w:tblCellMar>
          <w:top w:w="0" w:type="dxa"/>
          <w:left w:w="0" w:type="dxa"/>
          <w:bottom w:w="0" w:type="dxa"/>
          <w:right w:w="0" w:type="dxa"/>
        </w:tblCellMar>
      </w:tblPr>
      <w:tr>
        <w:trPr>
          <w:trHeight w:val="184"/>
        </w:trPr>
        <w:tc>
          <w:tcPr>
            <w:tcW w:w="5540" w:type="dxa"/>
            <w:vAlign w:val="bottom"/>
            <w:gridSpan w:val="2"/>
          </w:tcPr>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each class is to be</w:t>
            </w:r>
          </w:p>
        </w:tc>
      </w:tr>
      <w:tr>
        <w:trPr>
          <w:trHeight w:val="214"/>
        </w:trPr>
        <w:tc>
          <w:tcPr>
            <w:tcW w:w="5540" w:type="dxa"/>
            <w:vAlign w:val="bottom"/>
            <w:gridSpan w:val="2"/>
          </w:tcPr>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to be so registered</w:t>
            </w:r>
          </w:p>
        </w:tc>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r>
      <w:tr>
        <w:trPr>
          <w:trHeight w:val="171"/>
        </w:trPr>
        <w:tc>
          <w:tcPr>
            <w:tcW w:w="38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Rights to purchase Series A Participating</w:t>
            </w:r>
          </w:p>
        </w:tc>
        <w:tc>
          <w:tcPr>
            <w:tcW w:w="1680" w:type="dxa"/>
            <w:vAlign w:val="bottom"/>
          </w:tcPr>
          <w:p>
            <w:pPr>
              <w:spacing w:after="0"/>
              <w:rPr>
                <w:sz w:val="14"/>
                <w:szCs w:val="14"/>
                <w:color w:val="auto"/>
              </w:rPr>
            </w:pPr>
          </w:p>
        </w:tc>
        <w:tc>
          <w:tcPr>
            <w:tcW w:w="38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NYSE</w:t>
            </w:r>
          </w:p>
        </w:tc>
      </w:tr>
      <w:tr>
        <w:trPr>
          <w:trHeight w:val="184"/>
        </w:trPr>
        <w:tc>
          <w:tcPr>
            <w:tcW w:w="5540" w:type="dxa"/>
            <w:vAlign w:val="bottom"/>
            <w:gridSpan w:val="2"/>
          </w:tcPr>
          <w:p>
            <w:pPr>
              <w:jc w:val="center"/>
              <w:ind w:right="1720"/>
              <w:spacing w:after="0" w:line="184" w:lineRule="exact"/>
              <w:rPr>
                <w:sz w:val="20"/>
                <w:szCs w:val="20"/>
                <w:color w:val="auto"/>
              </w:rPr>
            </w:pPr>
            <w:r>
              <w:rPr>
                <w:rFonts w:ascii="Times New Roman" w:cs="Times New Roman" w:eastAsia="Times New Roman" w:hAnsi="Times New Roman"/>
                <w:sz w:val="18"/>
                <w:szCs w:val="18"/>
                <w:color w:val="auto"/>
              </w:rPr>
              <w:t>Cumulative Preferred Stock,</w:t>
            </w:r>
          </w:p>
        </w:tc>
        <w:tc>
          <w:tcPr>
            <w:tcW w:w="3860" w:type="dxa"/>
            <w:vAlign w:val="bottom"/>
          </w:tcPr>
          <w:p>
            <w:pPr>
              <w:spacing w:after="0"/>
              <w:rPr>
                <w:sz w:val="16"/>
                <w:szCs w:val="16"/>
                <w:color w:val="auto"/>
              </w:rPr>
            </w:pPr>
          </w:p>
        </w:tc>
      </w:tr>
      <w:tr>
        <w:trPr>
          <w:trHeight w:val="234"/>
        </w:trPr>
        <w:tc>
          <w:tcPr>
            <w:tcW w:w="554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color w:val="auto"/>
              </w:rPr>
              <w:t>par value $1.00 per share</w:t>
            </w:r>
          </w:p>
        </w:tc>
        <w:tc>
          <w:tcPr>
            <w:tcW w:w="3860" w:type="dxa"/>
            <w:vAlign w:val="bottom"/>
          </w:tcPr>
          <w:p>
            <w:pPr>
              <w:spacing w:after="0"/>
              <w:rPr>
                <w:sz w:val="20"/>
                <w:szCs w:val="20"/>
                <w:color w:val="auto"/>
              </w:rPr>
            </w:pPr>
          </w:p>
        </w:tc>
      </w:tr>
    </w:tbl>
    <w:p>
      <w:pPr>
        <w:spacing w:after="0" w:line="76"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check the following box. </w:t>
      </w:r>
      <w:r>
        <w:rPr>
          <w:rFonts w:ascii="Wingdings" w:cs="Wingdings" w:eastAsia="Wingdings" w:hAnsi="Wingdings"/>
          <w:sz w:val="16"/>
          <w:szCs w:val="16"/>
          <w:b w:val="1"/>
          <w:bCs w:val="1"/>
          <w:color w:val="auto"/>
        </w:rPr>
        <w:t>o</w:t>
      </w:r>
    </w:p>
    <w:p>
      <w:pPr>
        <w:spacing w:after="0" w:line="162" w:lineRule="exact"/>
        <w:rPr>
          <w:sz w:val="24"/>
          <w:szCs w:val="24"/>
          <w:color w:val="auto"/>
        </w:rPr>
      </w:pPr>
    </w:p>
    <w:p>
      <w:pPr>
        <w:spacing w:after="0"/>
        <w:tabs>
          <w:tab w:leader="none" w:pos="9360" w:val="left"/>
        </w:tabs>
        <w:rPr>
          <w:sz w:val="20"/>
          <w:szCs w:val="20"/>
          <w:color w:val="auto"/>
        </w:rPr>
      </w:pPr>
      <w:r>
        <w:rPr>
          <w:rFonts w:ascii="Times New Roman" w:cs="Times New Roman" w:eastAsia="Times New Roman" w:hAnsi="Times New Roman"/>
          <w:sz w:val="18"/>
          <w:szCs w:val="18"/>
          <w:color w:val="auto"/>
        </w:rPr>
        <w:t>If this form relates to the registration of a class of securities concurrently with a Regulation A offering, check the following box.</w:t>
      </w:r>
      <w:r>
        <w:rPr>
          <w:sz w:val="20"/>
          <w:szCs w:val="20"/>
          <w:color w:val="auto"/>
        </w:rPr>
        <w:tab/>
      </w:r>
      <w:r>
        <w:rPr>
          <w:rFonts w:ascii="Wingdings" w:cs="Wingdings" w:eastAsia="Wingdings" w:hAnsi="Wingdings"/>
          <w:sz w:val="15"/>
          <w:szCs w:val="15"/>
          <w:b w:val="1"/>
          <w:bCs w:val="1"/>
          <w:color w:val="auto"/>
        </w:rPr>
        <w:t>o</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(if applicable):</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254635</wp:posOffset>
            </wp:positionV>
            <wp:extent cx="69265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228600</wp:posOffset>
            </wp:positionV>
            <wp:extent cx="6926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This amendment hereby amends the registration statement on Form 8-A originally filed by Centrus Energy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with the Securities and Exchange Commission on April 7, 2016, as amended by (i) Amendment No. 1 filed with the Securities and Exchange Commission on February 15, 2017, (ii) Amendment No. 2 filed with the Securities and Exchange Commission on April 4, 2019, (iii) Amendment No. 3 filed with the Securities and Exchange Commission on April 14, 2020, (iv) Amendment No. 4 filed with the Securities and Exchange Commission on June 16, 2021, and (v) Amendment No. 5 filed with the Securities and Exchange Commission on June 21, 2023, by supplementing Items 1 and 2 with the following.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Description of Registrant’s Securities To Be Registered</w:t>
      </w:r>
    </w:p>
    <w:p>
      <w:pPr>
        <w:spacing w:after="0" w:line="25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On June 18, 2026, the Company entered into a Seventh Amendment to the Section 382 Rights Agreement (the “</w:t>
      </w:r>
      <w:r>
        <w:rPr>
          <w:rFonts w:ascii="Times New Roman" w:cs="Times New Roman" w:eastAsia="Times New Roman" w:hAnsi="Times New Roman"/>
          <w:sz w:val="20"/>
          <w:szCs w:val="20"/>
          <w:b w:val="1"/>
          <w:bCs w:val="1"/>
          <w:i w:val="1"/>
          <w:iCs w:val="1"/>
          <w:color w:val="auto"/>
        </w:rPr>
        <w:t>Seventh</w:t>
      </w:r>
    </w:p>
    <w:p>
      <w:pPr>
        <w:spacing w:after="0" w:line="2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Amendment</w:t>
      </w:r>
      <w:r>
        <w:rPr>
          <w:rFonts w:ascii="Times New Roman" w:cs="Times New Roman" w:eastAsia="Times New Roman" w:hAnsi="Times New Roman"/>
          <w:sz w:val="19"/>
          <w:szCs w:val="19"/>
          <w:color w:val="auto"/>
        </w:rPr>
        <w:t>”), which amends the Section 382 Rights Agreement, dated as of April 6, 2016 (the “Rights Agreement”), by and among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Company, and Computershare Trust Company, N.A. and Computershare Inc., as rights agent, as amended by (i) the First Amendment to the Section 382 Rights Agreement dated as of February 14, 2017 (the “</w:t>
      </w:r>
      <w:r>
        <w:rPr>
          <w:rFonts w:ascii="Times New Roman" w:cs="Times New Roman" w:eastAsia="Times New Roman" w:hAnsi="Times New Roman"/>
          <w:sz w:val="19"/>
          <w:szCs w:val="19"/>
          <w:b w:val="1"/>
          <w:bCs w:val="1"/>
          <w:i w:val="1"/>
          <w:iCs w:val="1"/>
          <w:color w:val="auto"/>
        </w:rPr>
        <w:t>First Amendment</w:t>
      </w:r>
      <w:r>
        <w:rPr>
          <w:rFonts w:ascii="Times New Roman" w:cs="Times New Roman" w:eastAsia="Times New Roman" w:hAnsi="Times New Roman"/>
          <w:sz w:val="19"/>
          <w:szCs w:val="19"/>
          <w:color w:val="auto"/>
        </w:rPr>
        <w:t>”), (ii) the Second Amendment to the Section 382 Rights Agreement dated as of April 3, 2019 (the “</w:t>
      </w:r>
      <w:r>
        <w:rPr>
          <w:rFonts w:ascii="Times New Roman" w:cs="Times New Roman" w:eastAsia="Times New Roman" w:hAnsi="Times New Roman"/>
          <w:sz w:val="19"/>
          <w:szCs w:val="19"/>
          <w:b w:val="1"/>
          <w:bCs w:val="1"/>
          <w:i w:val="1"/>
          <w:iCs w:val="1"/>
          <w:color w:val="auto"/>
        </w:rPr>
        <w:t>Second Amendment</w:t>
      </w:r>
      <w:r>
        <w:rPr>
          <w:rFonts w:ascii="Times New Roman" w:cs="Times New Roman" w:eastAsia="Times New Roman" w:hAnsi="Times New Roman"/>
          <w:sz w:val="19"/>
          <w:szCs w:val="19"/>
          <w:color w:val="auto"/>
        </w:rPr>
        <w:t>”), (iii) the Third Amendment to the Section 382 Rights Agreement dated as of April 13, 2020 (the “</w:t>
      </w:r>
      <w:r>
        <w:rPr>
          <w:rFonts w:ascii="Times New Roman" w:cs="Times New Roman" w:eastAsia="Times New Roman" w:hAnsi="Times New Roman"/>
          <w:sz w:val="19"/>
          <w:szCs w:val="19"/>
          <w:b w:val="1"/>
          <w:bCs w:val="1"/>
          <w:i w:val="1"/>
          <w:iCs w:val="1"/>
          <w:color w:val="auto"/>
        </w:rPr>
        <w:t>Third Amendment</w:t>
      </w:r>
      <w:r>
        <w:rPr>
          <w:rFonts w:ascii="Times New Roman" w:cs="Times New Roman" w:eastAsia="Times New Roman" w:hAnsi="Times New Roman"/>
          <w:sz w:val="19"/>
          <w:szCs w:val="19"/>
          <w:color w:val="auto"/>
        </w:rPr>
        <w:t>”), (iv) the Fourth Amendment to the Section 382 Rights Agreement dated as of June 16, 2021 (the “</w:t>
      </w:r>
      <w:r>
        <w:rPr>
          <w:rFonts w:ascii="Times New Roman" w:cs="Times New Roman" w:eastAsia="Times New Roman" w:hAnsi="Times New Roman"/>
          <w:sz w:val="19"/>
          <w:szCs w:val="19"/>
          <w:b w:val="1"/>
          <w:bCs w:val="1"/>
          <w:i w:val="1"/>
          <w:iCs w:val="1"/>
          <w:color w:val="auto"/>
        </w:rPr>
        <w:t>Fourth Amendment</w:t>
      </w:r>
      <w:r>
        <w:rPr>
          <w:rFonts w:ascii="Times New Roman" w:cs="Times New Roman" w:eastAsia="Times New Roman" w:hAnsi="Times New Roman"/>
          <w:sz w:val="19"/>
          <w:szCs w:val="19"/>
          <w:color w:val="auto"/>
        </w:rPr>
        <w:t>”), (v) the Fifth Amendment to the Section 382 Rights Agreement dated as of June 20, 2023 (the “</w:t>
      </w:r>
      <w:r>
        <w:rPr>
          <w:rFonts w:ascii="Times New Roman" w:cs="Times New Roman" w:eastAsia="Times New Roman" w:hAnsi="Times New Roman"/>
          <w:sz w:val="19"/>
          <w:szCs w:val="19"/>
          <w:b w:val="1"/>
          <w:bCs w:val="1"/>
          <w:i w:val="1"/>
          <w:iCs w:val="1"/>
          <w:color w:val="auto"/>
        </w:rPr>
        <w:t>Fifth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Amendment</w:t>
      </w:r>
      <w:r>
        <w:rPr>
          <w:rFonts w:ascii="Times New Roman" w:cs="Times New Roman" w:eastAsia="Times New Roman" w:hAnsi="Times New Roman"/>
          <w:sz w:val="19"/>
          <w:szCs w:val="19"/>
          <w:color w:val="auto"/>
        </w:rPr>
        <w:t>”), and (vi) the Sixth Amendment to the Section 382 Right Agreement dated as of May 28, 2024 (the “</w:t>
      </w:r>
      <w:r>
        <w:rPr>
          <w:rFonts w:ascii="Times New Roman" w:cs="Times New Roman" w:eastAsia="Times New Roman" w:hAnsi="Times New Roman"/>
          <w:sz w:val="19"/>
          <w:szCs w:val="19"/>
          <w:b w:val="1"/>
          <w:bCs w:val="1"/>
          <w:i w:val="1"/>
          <w:iCs w:val="1"/>
          <w:color w:val="auto"/>
        </w:rPr>
        <w:t>Sixth Amendment</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right="20" w:firstLine="648"/>
        <w:spacing w:after="0" w:line="247" w:lineRule="auto"/>
        <w:rPr>
          <w:sz w:val="20"/>
          <w:szCs w:val="20"/>
          <w:color w:val="auto"/>
        </w:rPr>
      </w:pPr>
      <w:r>
        <w:rPr>
          <w:rFonts w:ascii="Times New Roman" w:cs="Times New Roman" w:eastAsia="Times New Roman" w:hAnsi="Times New Roman"/>
          <w:sz w:val="20"/>
          <w:szCs w:val="20"/>
          <w:color w:val="auto"/>
        </w:rPr>
        <w:t>The Seventh Amendment to the Rights Agreement (i) increases the purchase price for each one one-thousandth (1/1000th) of a share of the Company’s Series A Participating Cumulative Preferred Stock, par value $1.00 per share, from $160.38 to $1,143.95; and (ii) extends the Final Expiration Date (as defined in the Rights Agreement) from June 30, 2026 to June 30, 2029.</w:t>
      </w:r>
    </w:p>
    <w:p>
      <w:pPr>
        <w:spacing w:after="0" w:line="20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0"/>
          <w:szCs w:val="20"/>
          <w:color w:val="auto"/>
        </w:rPr>
        <w:t>The foregoing summary of the Seventh Amendment is qualified in its entirety by reference to the full text of the Rights Agreement, which was filed as Exhibit 4.1 to the Company’s Current Report on Form 8-A filed on April 7, 2016 and is incorporated herein by reference, the First Amendment, which was filed as Exhibit 4.1 to the Company’s Current Report on Form 8-K filed on January 5, 2017 and is incorporated herein by reference, the Second Amendment, which was filed as Exhibit 4.1 to the Company’s Current Report on Form 8-K filed on April 4, 2019 and is incorporated herein by reference, the Third Amendment, which was filed as Exhibit 4.1 to the Company’s Current Report on Form 8-K filed on April 14, 2020 and is incorporated herein by reference, the Fourth Amendment, which was filed as Exhibit 4.1 to the Company’s Current Report on Form 8-K filed on June 16, 2021 and is incorporated herein by reference, the Fifth Amendment, which was filed as Exhibit 4.1 to the Company’s Current Report on Form 8-K filed on June 21, 2023 and is incorporated herein by reference, the Sixth Amendment, which was filed as Exhibit 4.1 to the Company’s Current Report on Form 8-K filed on May 28, 2024, and is incorporated herein by reference, and the Seventh Amendment, which was filed as Exhibit 4.1 to the Company’s Current Report on Form 8-K filed on June 18, 2026 and is incorporated herein by reference.</w:t>
      </w:r>
    </w:p>
    <w:p>
      <w:pPr>
        <w:sectPr>
          <w:pgSz w:w="11900" w:h="16838" w:orient="portrait"/>
          <w:cols w:equalWidth="0" w:num="1">
            <w:col w:w="11180"/>
          </w:cols>
          <w:pgMar w:left="320" w:top="882"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2. Exhibits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w w:val="98"/>
              </w:rPr>
              <w:t>Exhibit No.</w:t>
            </w:r>
          </w:p>
        </w:tc>
        <w:tc>
          <w:tcPr>
            <w:tcW w:w="560" w:type="dxa"/>
            <w:vAlign w:val="bottom"/>
          </w:tcPr>
          <w:p>
            <w:pPr>
              <w:spacing w:after="0"/>
              <w:rPr>
                <w:sz w:val="18"/>
                <w:szCs w:val="18"/>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9"/>
                <w:szCs w:val="19"/>
                <w:b w:val="1"/>
                <w:bCs w:val="1"/>
                <w:color w:val="auto"/>
              </w:rPr>
              <w:t>Description</w:t>
            </w:r>
          </w:p>
        </w:tc>
      </w:tr>
      <w:tr>
        <w:trPr>
          <w:trHeight w:val="20"/>
        </w:trPr>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3.1</w:t>
            </w:r>
          </w:p>
        </w:tc>
        <w:tc>
          <w:tcPr>
            <w:tcW w:w="560" w:type="dxa"/>
            <w:vAlign w:val="bottom"/>
          </w:tcPr>
          <w:p>
            <w:pPr>
              <w:spacing w:after="0"/>
              <w:rPr>
                <w:sz w:val="24"/>
                <w:szCs w:val="24"/>
                <w:color w:val="auto"/>
              </w:rPr>
            </w:pPr>
          </w:p>
        </w:tc>
        <w:tc>
          <w:tcPr>
            <w:tcW w:w="9520" w:type="dxa"/>
            <w:vAlign w:val="bottom"/>
            <w:gridSpan w:val="19"/>
          </w:tcPr>
          <w:p>
            <w:pPr>
              <w:spacing w:after="0"/>
              <w:rPr>
                <w:rFonts w:ascii="Times New Roman" w:cs="Times New Roman" w:eastAsia="Times New Roman" w:hAnsi="Times New Roman"/>
                <w:sz w:val="19"/>
                <w:szCs w:val="19"/>
                <w:color w:val="0000FF"/>
                <w:w w:val="99"/>
              </w:rPr>
            </w:pPr>
            <w:hyperlink r:id="rId12">
              <w:r>
                <w:rPr>
                  <w:rFonts w:ascii="Times New Roman" w:cs="Times New Roman" w:eastAsia="Times New Roman" w:hAnsi="Times New Roman"/>
                  <w:sz w:val="19"/>
                  <w:szCs w:val="19"/>
                  <w:color w:val="0000FF"/>
                  <w:w w:val="99"/>
                </w:rPr>
                <w:t>Certificate of the Voting Powers, Designations, Preferences and Relative Participating, Optional and Other Special Rights and</w:t>
              </w:r>
            </w:hyperlink>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500" w:type="dxa"/>
            <w:vAlign w:val="bottom"/>
            <w:tcBorders>
              <w:top w:val="single" w:sz="8" w:color="0000FF"/>
            </w:tcBorders>
            <w:gridSpan w:val="18"/>
          </w:tcPr>
          <w:p>
            <w:pPr>
              <w:spacing w:after="0" w:line="169" w:lineRule="exact"/>
              <w:rPr>
                <w:rFonts w:ascii="Times New Roman" w:cs="Times New Roman" w:eastAsia="Times New Roman" w:hAnsi="Times New Roman"/>
                <w:sz w:val="19"/>
                <w:szCs w:val="19"/>
                <w:color w:val="0000FF"/>
              </w:rPr>
            </w:pPr>
            <w:hyperlink r:id="rId12">
              <w:r>
                <w:rPr>
                  <w:rFonts w:ascii="Times New Roman" w:cs="Times New Roman" w:eastAsia="Times New Roman" w:hAnsi="Times New Roman"/>
                  <w:sz w:val="19"/>
                  <w:szCs w:val="19"/>
                  <w:color w:val="0000FF"/>
                </w:rPr>
                <w:t>Qualifications, Limitations or Restrictions of Series A Participating Cumulative Preferred Stock of Centrus Energy Corp.</w:t>
              </w:r>
            </w:hyperlink>
          </w:p>
        </w:tc>
        <w:tc>
          <w:tcPr>
            <w:tcW w:w="2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160" w:type="dxa"/>
            <w:vAlign w:val="bottom"/>
            <w:tcBorders>
              <w:top w:val="single" w:sz="8" w:color="0000FF"/>
            </w:tcBorders>
            <w:gridSpan w:val="10"/>
          </w:tcPr>
          <w:p>
            <w:pPr>
              <w:spacing w:after="0" w:line="169" w:lineRule="exact"/>
              <w:rPr>
                <w:rFonts w:ascii="Times New Roman" w:cs="Times New Roman" w:eastAsia="Times New Roman" w:hAnsi="Times New Roman"/>
                <w:sz w:val="19"/>
                <w:szCs w:val="19"/>
                <w:color w:val="0000FF"/>
              </w:rPr>
            </w:pPr>
            <w:hyperlink r:id="rId12">
              <w:r>
                <w:rPr>
                  <w:rFonts w:ascii="Times New Roman" w:cs="Times New Roman" w:eastAsia="Times New Roman" w:hAnsi="Times New Roman"/>
                  <w:sz w:val="19"/>
                  <w:szCs w:val="19"/>
                  <w:color w:val="0000FF"/>
                </w:rPr>
                <w:t>(incorporated by reference to Exhibit 3.1 of the Company’s Current Report on Form 8-A filed on April 7, 2016)</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9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4.1</w:t>
            </w:r>
          </w:p>
        </w:tc>
        <w:tc>
          <w:tcPr>
            <w:tcW w:w="560" w:type="dxa"/>
            <w:vAlign w:val="bottom"/>
          </w:tcPr>
          <w:p>
            <w:pPr>
              <w:spacing w:after="0"/>
              <w:rPr>
                <w:sz w:val="19"/>
                <w:szCs w:val="19"/>
                <w:color w:val="auto"/>
              </w:rPr>
            </w:pPr>
          </w:p>
        </w:tc>
        <w:tc>
          <w:tcPr>
            <w:tcW w:w="9520" w:type="dxa"/>
            <w:vAlign w:val="bottom"/>
            <w:gridSpan w:val="19"/>
          </w:tcPr>
          <w:p>
            <w:pPr>
              <w:spacing w:after="0"/>
              <w:rPr>
                <w:rFonts w:ascii="Times New Roman" w:cs="Times New Roman" w:eastAsia="Times New Roman" w:hAnsi="Times New Roman"/>
                <w:sz w:val="19"/>
                <w:szCs w:val="19"/>
                <w:color w:val="0000FF"/>
              </w:rPr>
            </w:pPr>
            <w:hyperlink r:id="rId13">
              <w:r>
                <w:rPr>
                  <w:rFonts w:ascii="Times New Roman" w:cs="Times New Roman" w:eastAsia="Times New Roman" w:hAnsi="Times New Roman"/>
                  <w:sz w:val="19"/>
                  <w:szCs w:val="19"/>
                  <w:color w:val="0000FF"/>
                </w:rPr>
                <w:t>Section 382 Rights Agreement dated as of April 6, 2016, by and among Centrus Energy Corp., Computershare Trust</w:t>
              </w:r>
            </w:hyperlink>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0" w:type="dxa"/>
            <w:vAlign w:val="bottom"/>
            <w:tcBorders>
              <w:top w:val="single" w:sz="8" w:color="0000FF"/>
            </w:tcBorders>
            <w:gridSpan w:val="6"/>
          </w:tcPr>
          <w:p>
            <w:pPr>
              <w:spacing w:after="0" w:line="169" w:lineRule="exact"/>
              <w:rPr>
                <w:rFonts w:ascii="Times New Roman" w:cs="Times New Roman" w:eastAsia="Times New Roman" w:hAnsi="Times New Roman"/>
                <w:sz w:val="19"/>
                <w:szCs w:val="19"/>
                <w:color w:val="0000FF"/>
                <w:w w:val="99"/>
              </w:rPr>
            </w:pPr>
            <w:hyperlink r:id="rId13">
              <w:r>
                <w:rPr>
                  <w:rFonts w:ascii="Times New Roman" w:cs="Times New Roman" w:eastAsia="Times New Roman" w:hAnsi="Times New Roman"/>
                  <w:sz w:val="19"/>
                  <w:szCs w:val="19"/>
                  <w:color w:val="0000FF"/>
                  <w:w w:val="99"/>
                </w:rPr>
                <w:t>Company, N.A. and Computershare Inc. (incorporated by reference to Exhibit 4.1 of the Company’s Current Report</w:t>
              </w:r>
            </w:hyperlink>
          </w:p>
        </w:tc>
        <w:tc>
          <w:tcPr>
            <w:tcW w:w="720" w:type="dxa"/>
            <w:vAlign w:val="bottom"/>
            <w:gridSpan w:val="13"/>
          </w:tcPr>
          <w:p>
            <w:pPr>
              <w:spacing w:after="0" w:line="169" w:lineRule="exact"/>
              <w:rPr>
                <w:rFonts w:ascii="Times New Roman" w:cs="Times New Roman" w:eastAsia="Times New Roman" w:hAnsi="Times New Roman"/>
                <w:sz w:val="19"/>
                <w:szCs w:val="19"/>
                <w:color w:val="0000FF"/>
              </w:rPr>
            </w:pPr>
            <w:hyperlink r:id="rId13">
              <w:r>
                <w:rPr>
                  <w:rFonts w:ascii="Times New Roman" w:cs="Times New Roman" w:eastAsia="Times New Roman" w:hAnsi="Times New Roman"/>
                  <w:sz w:val="19"/>
                  <w:szCs w:val="19"/>
                  <w:color w:val="0000FF"/>
                </w:rPr>
                <w:t>on Form</w:t>
              </w:r>
            </w:hyperlink>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9"/>
                <w:szCs w:val="19"/>
                <w:color w:val="0000FF"/>
                <w:w w:val="98"/>
              </w:rPr>
            </w:pPr>
            <w:hyperlink r:id="rId13">
              <w:r>
                <w:rPr>
                  <w:rFonts w:ascii="Times New Roman" w:cs="Times New Roman" w:eastAsia="Times New Roman" w:hAnsi="Times New Roman"/>
                  <w:sz w:val="19"/>
                  <w:szCs w:val="19"/>
                  <w:color w:val="0000FF"/>
                  <w:w w:val="98"/>
                </w:rPr>
                <w:t>8-A filed on April 7, 2016)</w:t>
              </w:r>
            </w:hyperlink>
          </w:p>
        </w:tc>
        <w:tc>
          <w:tcPr>
            <w:tcW w:w="7400" w:type="dxa"/>
            <w:vAlign w:val="bottom"/>
            <w:tcBorders>
              <w:top w:val="single" w:sz="8" w:color="0000FF"/>
            </w:tcBorders>
            <w:gridSpan w:val="15"/>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23"/>
        </w:trPr>
        <w:tc>
          <w:tcPr>
            <w:tcW w:w="9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4.2</w:t>
            </w:r>
          </w:p>
        </w:tc>
        <w:tc>
          <w:tcPr>
            <w:tcW w:w="560" w:type="dxa"/>
            <w:vAlign w:val="bottom"/>
          </w:tcPr>
          <w:p>
            <w:pPr>
              <w:spacing w:after="0"/>
              <w:rPr>
                <w:sz w:val="19"/>
                <w:szCs w:val="19"/>
                <w:color w:val="auto"/>
              </w:rPr>
            </w:pPr>
          </w:p>
        </w:tc>
        <w:tc>
          <w:tcPr>
            <w:tcW w:w="9520" w:type="dxa"/>
            <w:vAlign w:val="bottom"/>
            <w:gridSpan w:val="19"/>
          </w:tcPr>
          <w:p>
            <w:pPr>
              <w:spacing w:after="0"/>
              <w:rPr>
                <w:rFonts w:ascii="Times New Roman" w:cs="Times New Roman" w:eastAsia="Times New Roman" w:hAnsi="Times New Roman"/>
                <w:sz w:val="19"/>
                <w:szCs w:val="19"/>
                <w:color w:val="0000FF"/>
              </w:rPr>
            </w:pPr>
            <w:hyperlink r:id="rId14">
              <w:r>
                <w:rPr>
                  <w:rFonts w:ascii="Times New Roman" w:cs="Times New Roman" w:eastAsia="Times New Roman" w:hAnsi="Times New Roman"/>
                  <w:sz w:val="19"/>
                  <w:szCs w:val="19"/>
                  <w:color w:val="0000FF"/>
                </w:rPr>
                <w:t>First Amendment to the Section 382 Rights Agreement, dated February 14, 2017 by and among Centrus Energy Corp.,</w:t>
              </w:r>
            </w:hyperlink>
          </w:p>
        </w:tc>
      </w:tr>
      <w:tr>
        <w:trPr>
          <w:trHeight w:val="20"/>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520" w:type="dxa"/>
            <w:vAlign w:val="bottom"/>
            <w:gridSpan w:val="19"/>
          </w:tcPr>
          <w:p>
            <w:pPr>
              <w:spacing w:after="0" w:line="169" w:lineRule="exact"/>
              <w:rPr>
                <w:rFonts w:ascii="Times New Roman" w:cs="Times New Roman" w:eastAsia="Times New Roman" w:hAnsi="Times New Roman"/>
                <w:sz w:val="19"/>
                <w:szCs w:val="19"/>
                <w:color w:val="0000FF"/>
              </w:rPr>
            </w:pPr>
            <w:hyperlink r:id="rId14">
              <w:r>
                <w:rPr>
                  <w:rFonts w:ascii="Times New Roman" w:cs="Times New Roman" w:eastAsia="Times New Roman" w:hAnsi="Times New Roman"/>
                  <w:sz w:val="19"/>
                  <w:szCs w:val="19"/>
                  <w:color w:val="0000FF"/>
                </w:rPr>
                <w:t>Computershare Trust Company, N.A., and Computershare Inc. (incorporated by reference to Exhibit 4.1 of the Company’s</w:t>
              </w:r>
            </w:hyperlink>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40" w:type="dxa"/>
            <w:vAlign w:val="bottom"/>
            <w:tcBorders>
              <w:top w:val="single" w:sz="8" w:color="0000FF"/>
            </w:tcBorders>
            <w:gridSpan w:val="13"/>
          </w:tcPr>
          <w:p>
            <w:pPr>
              <w:spacing w:after="0" w:line="169" w:lineRule="exact"/>
              <w:rPr>
                <w:rFonts w:ascii="Times New Roman" w:cs="Times New Roman" w:eastAsia="Times New Roman" w:hAnsi="Times New Roman"/>
                <w:sz w:val="19"/>
                <w:szCs w:val="19"/>
                <w:color w:val="0000FF"/>
              </w:rPr>
            </w:pPr>
            <w:hyperlink r:id="rId14">
              <w:r>
                <w:rPr>
                  <w:rFonts w:ascii="Times New Roman" w:cs="Times New Roman" w:eastAsia="Times New Roman" w:hAnsi="Times New Roman"/>
                  <w:sz w:val="19"/>
                  <w:szCs w:val="19"/>
                  <w:color w:val="0000FF"/>
                </w:rPr>
                <w:t>Current Report on Form 8-K, filed with the SEC on January 5,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23"/>
        </w:trPr>
        <w:tc>
          <w:tcPr>
            <w:tcW w:w="9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4.3</w:t>
            </w:r>
          </w:p>
        </w:tc>
        <w:tc>
          <w:tcPr>
            <w:tcW w:w="560" w:type="dxa"/>
            <w:vAlign w:val="bottom"/>
          </w:tcPr>
          <w:p>
            <w:pPr>
              <w:spacing w:after="0"/>
              <w:rPr>
                <w:sz w:val="19"/>
                <w:szCs w:val="19"/>
                <w:color w:val="auto"/>
              </w:rPr>
            </w:pPr>
          </w:p>
        </w:tc>
        <w:tc>
          <w:tcPr>
            <w:tcW w:w="9520" w:type="dxa"/>
            <w:vAlign w:val="bottom"/>
            <w:gridSpan w:val="19"/>
          </w:tcPr>
          <w:p>
            <w:pPr>
              <w:spacing w:after="0"/>
              <w:rPr>
                <w:rFonts w:ascii="Times New Roman" w:cs="Times New Roman" w:eastAsia="Times New Roman" w:hAnsi="Times New Roman"/>
                <w:sz w:val="19"/>
                <w:szCs w:val="19"/>
                <w:color w:val="0000FF"/>
              </w:rPr>
            </w:pPr>
            <w:hyperlink r:id="rId15">
              <w:r>
                <w:rPr>
                  <w:rFonts w:ascii="Times New Roman" w:cs="Times New Roman" w:eastAsia="Times New Roman" w:hAnsi="Times New Roman"/>
                  <w:sz w:val="19"/>
                  <w:szCs w:val="19"/>
                  <w:color w:val="0000FF"/>
                </w:rPr>
                <w:t>Second Amendment to the Section 382 Rights Agreement, dated as of April 3, 2019, by and among Centrus Energy Corp.,</w:t>
              </w:r>
            </w:hyperlink>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80" w:type="dxa"/>
            <w:vAlign w:val="bottom"/>
            <w:tcBorders>
              <w:top w:val="single" w:sz="8" w:color="0000FF"/>
            </w:tcBorders>
            <w:gridSpan w:val="15"/>
          </w:tcPr>
          <w:p>
            <w:pPr>
              <w:spacing w:after="0" w:line="169" w:lineRule="exact"/>
              <w:rPr>
                <w:rFonts w:ascii="Times New Roman" w:cs="Times New Roman" w:eastAsia="Times New Roman" w:hAnsi="Times New Roman"/>
                <w:sz w:val="19"/>
                <w:szCs w:val="19"/>
                <w:color w:val="0000FF"/>
                <w:w w:val="99"/>
              </w:rPr>
            </w:pPr>
            <w:hyperlink r:id="rId15">
              <w:r>
                <w:rPr>
                  <w:rFonts w:ascii="Times New Roman" w:cs="Times New Roman" w:eastAsia="Times New Roman" w:hAnsi="Times New Roman"/>
                  <w:sz w:val="19"/>
                  <w:szCs w:val="19"/>
                  <w:color w:val="0000FF"/>
                  <w:w w:val="99"/>
                </w:rPr>
                <w:t>Computershare Trust Company, N.A. and Computershare Inc. (incorporated by reference to Exhibit 4.1 of the Company’s</w:t>
              </w:r>
            </w:hyperlink>
          </w:p>
        </w:tc>
        <w:tc>
          <w:tcPr>
            <w:tcW w:w="8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0" w:type="dxa"/>
            <w:vAlign w:val="bottom"/>
            <w:tcBorders>
              <w:top w:val="single" w:sz="8" w:color="0000FF"/>
            </w:tcBorders>
            <w:gridSpan w:val="11"/>
          </w:tcPr>
          <w:p>
            <w:pPr>
              <w:spacing w:after="0" w:line="169" w:lineRule="exact"/>
              <w:rPr>
                <w:rFonts w:ascii="Times New Roman" w:cs="Times New Roman" w:eastAsia="Times New Roman" w:hAnsi="Times New Roman"/>
                <w:sz w:val="19"/>
                <w:szCs w:val="19"/>
                <w:color w:val="0000FF"/>
              </w:rPr>
            </w:pPr>
            <w:hyperlink r:id="rId15">
              <w:r>
                <w:rPr>
                  <w:rFonts w:ascii="Times New Roman" w:cs="Times New Roman" w:eastAsia="Times New Roman" w:hAnsi="Times New Roman"/>
                  <w:sz w:val="19"/>
                  <w:szCs w:val="19"/>
                  <w:color w:val="0000FF"/>
                </w:rPr>
                <w:t>Current Report on Form 8-K, filed on April 4, 2019)</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23"/>
        </w:trPr>
        <w:tc>
          <w:tcPr>
            <w:tcW w:w="9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4.4</w:t>
            </w:r>
          </w:p>
        </w:tc>
        <w:tc>
          <w:tcPr>
            <w:tcW w:w="560" w:type="dxa"/>
            <w:vAlign w:val="bottom"/>
          </w:tcPr>
          <w:p>
            <w:pPr>
              <w:spacing w:after="0"/>
              <w:rPr>
                <w:sz w:val="19"/>
                <w:szCs w:val="19"/>
                <w:color w:val="auto"/>
              </w:rPr>
            </w:pPr>
          </w:p>
        </w:tc>
        <w:tc>
          <w:tcPr>
            <w:tcW w:w="9520" w:type="dxa"/>
            <w:vAlign w:val="bottom"/>
            <w:gridSpan w:val="19"/>
          </w:tcPr>
          <w:p>
            <w:pPr>
              <w:spacing w:after="0"/>
              <w:rPr>
                <w:rFonts w:ascii="Times New Roman" w:cs="Times New Roman" w:eastAsia="Times New Roman" w:hAnsi="Times New Roman"/>
                <w:sz w:val="19"/>
                <w:szCs w:val="19"/>
                <w:color w:val="0000FF"/>
              </w:rPr>
            </w:pPr>
            <w:hyperlink r:id="rId16">
              <w:r>
                <w:rPr>
                  <w:rFonts w:ascii="Times New Roman" w:cs="Times New Roman" w:eastAsia="Times New Roman" w:hAnsi="Times New Roman"/>
                  <w:sz w:val="19"/>
                  <w:szCs w:val="19"/>
                  <w:color w:val="0000FF"/>
                </w:rPr>
                <w:t>Third Amendment to the Section 382 Rights Agreement, dated as of April 13, 2020, by and among Centrus Energy Corp.,</w:t>
              </w:r>
            </w:hyperlink>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20" w:type="dxa"/>
            <w:vAlign w:val="bottom"/>
            <w:tcBorders>
              <w:top w:val="single" w:sz="8" w:color="0000FF"/>
            </w:tcBorders>
            <w:gridSpan w:val="12"/>
          </w:tcPr>
          <w:p>
            <w:pPr>
              <w:spacing w:after="0" w:line="169" w:lineRule="exact"/>
              <w:rPr>
                <w:rFonts w:ascii="Times New Roman" w:cs="Times New Roman" w:eastAsia="Times New Roman" w:hAnsi="Times New Roman"/>
                <w:sz w:val="19"/>
                <w:szCs w:val="19"/>
                <w:color w:val="0000FF"/>
                <w:w w:val="99"/>
              </w:rPr>
            </w:pPr>
            <w:hyperlink r:id="rId16">
              <w:r>
                <w:rPr>
                  <w:rFonts w:ascii="Times New Roman" w:cs="Times New Roman" w:eastAsia="Times New Roman" w:hAnsi="Times New Roman"/>
                  <w:sz w:val="19"/>
                  <w:szCs w:val="19"/>
                  <w:color w:val="0000FF"/>
                  <w:w w:val="99"/>
                </w:rPr>
                <w:t>Computershare Trust Company, N.A. and Computershare Inc. (incorporated by reference to Exhibit 4.1 of the Company’s</w:t>
              </w:r>
            </w:hyperlink>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0" w:type="dxa"/>
            <w:vAlign w:val="bottom"/>
            <w:tcBorders>
              <w:top w:val="single" w:sz="8" w:color="0000FF"/>
            </w:tcBorders>
            <w:gridSpan w:val="11"/>
          </w:tcPr>
          <w:p>
            <w:pPr>
              <w:spacing w:after="0" w:line="169" w:lineRule="exact"/>
              <w:rPr>
                <w:rFonts w:ascii="Times New Roman" w:cs="Times New Roman" w:eastAsia="Times New Roman" w:hAnsi="Times New Roman"/>
                <w:sz w:val="19"/>
                <w:szCs w:val="19"/>
                <w:color w:val="0000FF"/>
              </w:rPr>
            </w:pPr>
            <w:hyperlink r:id="rId16">
              <w:r>
                <w:rPr>
                  <w:rFonts w:ascii="Times New Roman" w:cs="Times New Roman" w:eastAsia="Times New Roman" w:hAnsi="Times New Roman"/>
                  <w:sz w:val="19"/>
                  <w:szCs w:val="19"/>
                  <w:color w:val="0000FF"/>
                </w:rPr>
                <w:t>Current Report on Form 8-K, filed on April 14, 2020</w:t>
              </w:r>
              <w:r>
                <w:rPr>
                  <w:rFonts w:ascii="Times New Roman" w:cs="Times New Roman" w:eastAsia="Times New Roman" w:hAnsi="Times New Roman"/>
                  <w:sz w:val="19"/>
                  <w:szCs w:val="19"/>
                  <w:color w:val="000000"/>
                </w:rPr>
                <w:t>)</w:t>
              </w:r>
            </w:hyperlink>
          </w:p>
        </w:tc>
        <w:tc>
          <w:tcPr>
            <w:tcW w:w="6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5160" w:type="dxa"/>
            <w:vAlign w:val="bottom"/>
            <w:tcBorders>
              <w:left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23"/>
        </w:trPr>
        <w:tc>
          <w:tcPr>
            <w:tcW w:w="9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4.5</w:t>
            </w:r>
          </w:p>
        </w:tc>
        <w:tc>
          <w:tcPr>
            <w:tcW w:w="560" w:type="dxa"/>
            <w:vAlign w:val="bottom"/>
          </w:tcPr>
          <w:p>
            <w:pPr>
              <w:spacing w:after="0"/>
              <w:rPr>
                <w:sz w:val="19"/>
                <w:szCs w:val="19"/>
                <w:color w:val="auto"/>
              </w:rPr>
            </w:pPr>
          </w:p>
        </w:tc>
        <w:tc>
          <w:tcPr>
            <w:tcW w:w="9520" w:type="dxa"/>
            <w:vAlign w:val="bottom"/>
            <w:gridSpan w:val="19"/>
          </w:tcPr>
          <w:p>
            <w:pPr>
              <w:spacing w:after="0"/>
              <w:rPr>
                <w:rFonts w:ascii="Times New Roman" w:cs="Times New Roman" w:eastAsia="Times New Roman" w:hAnsi="Times New Roman"/>
                <w:sz w:val="19"/>
                <w:szCs w:val="19"/>
                <w:color w:val="0000FF"/>
              </w:rPr>
            </w:pPr>
            <w:hyperlink r:id="rId17">
              <w:r>
                <w:rPr>
                  <w:rFonts w:ascii="Times New Roman" w:cs="Times New Roman" w:eastAsia="Times New Roman" w:hAnsi="Times New Roman"/>
                  <w:sz w:val="19"/>
                  <w:szCs w:val="19"/>
                  <w:color w:val="0000FF"/>
                </w:rPr>
                <w:t>Fourth Amendment to the Section 382 Rights Agreement, dated as of June 16, 2021, by and among Centrus Energy Corp.,</w:t>
              </w:r>
            </w:hyperlink>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60" w:type="dxa"/>
            <w:vAlign w:val="bottom"/>
            <w:tcBorders>
              <w:top w:val="single" w:sz="8" w:color="0000FF"/>
            </w:tcBorders>
            <w:gridSpan w:val="14"/>
          </w:tcPr>
          <w:p>
            <w:pPr>
              <w:spacing w:after="0" w:line="169" w:lineRule="exact"/>
              <w:rPr>
                <w:rFonts w:ascii="Times New Roman" w:cs="Times New Roman" w:eastAsia="Times New Roman" w:hAnsi="Times New Roman"/>
                <w:sz w:val="19"/>
                <w:szCs w:val="19"/>
                <w:color w:val="0000FF"/>
                <w:w w:val="99"/>
              </w:rPr>
            </w:pPr>
            <w:hyperlink r:id="rId17">
              <w:r>
                <w:rPr>
                  <w:rFonts w:ascii="Times New Roman" w:cs="Times New Roman" w:eastAsia="Times New Roman" w:hAnsi="Times New Roman"/>
                  <w:sz w:val="19"/>
                  <w:szCs w:val="19"/>
                  <w:color w:val="0000FF"/>
                  <w:w w:val="99"/>
                </w:rPr>
                <w:t>Computershare Trust Company, N.A. and Computershare Inc. (incorporated by reference to Exhibit 4.1 of the Company’s</w:t>
              </w:r>
            </w:hyperlink>
          </w:p>
        </w:tc>
        <w:tc>
          <w:tcPr>
            <w:tcW w:w="10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0" w:type="dxa"/>
            <w:vAlign w:val="bottom"/>
            <w:tcBorders>
              <w:top w:val="single" w:sz="8" w:color="0000FF"/>
            </w:tcBorders>
            <w:gridSpan w:val="11"/>
          </w:tcPr>
          <w:p>
            <w:pPr>
              <w:spacing w:after="0" w:line="169" w:lineRule="exact"/>
              <w:rPr>
                <w:rFonts w:ascii="Times New Roman" w:cs="Times New Roman" w:eastAsia="Times New Roman" w:hAnsi="Times New Roman"/>
                <w:sz w:val="19"/>
                <w:szCs w:val="19"/>
                <w:color w:val="0000FF"/>
              </w:rPr>
            </w:pPr>
            <w:hyperlink r:id="rId17">
              <w:r>
                <w:rPr>
                  <w:rFonts w:ascii="Times New Roman" w:cs="Times New Roman" w:eastAsia="Times New Roman" w:hAnsi="Times New Roman"/>
                  <w:sz w:val="19"/>
                  <w:szCs w:val="19"/>
                  <w:color w:val="0000FF"/>
                </w:rPr>
                <w:t>Current Report on Form 8-K, filed on June 16, 2021)</w:t>
              </w:r>
            </w:hyperlink>
          </w:p>
        </w:tc>
        <w:tc>
          <w:tcPr>
            <w:tcW w:w="160" w:type="dxa"/>
            <w:vAlign w:val="bottom"/>
            <w:gridSpan w:val="5"/>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5160" w:type="dxa"/>
            <w:vAlign w:val="bottom"/>
            <w:tcBorders>
              <w:left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23"/>
        </w:trPr>
        <w:tc>
          <w:tcPr>
            <w:tcW w:w="9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4.6</w:t>
            </w:r>
          </w:p>
        </w:tc>
        <w:tc>
          <w:tcPr>
            <w:tcW w:w="560" w:type="dxa"/>
            <w:vAlign w:val="bottom"/>
          </w:tcPr>
          <w:p>
            <w:pPr>
              <w:spacing w:after="0"/>
              <w:rPr>
                <w:sz w:val="19"/>
                <w:szCs w:val="19"/>
                <w:color w:val="auto"/>
              </w:rPr>
            </w:pPr>
          </w:p>
        </w:tc>
        <w:tc>
          <w:tcPr>
            <w:tcW w:w="9520" w:type="dxa"/>
            <w:vAlign w:val="bottom"/>
            <w:gridSpan w:val="19"/>
          </w:tcPr>
          <w:p>
            <w:pPr>
              <w:spacing w:after="0"/>
              <w:rPr>
                <w:rFonts w:ascii="Times New Roman" w:cs="Times New Roman" w:eastAsia="Times New Roman" w:hAnsi="Times New Roman"/>
                <w:sz w:val="19"/>
                <w:szCs w:val="19"/>
                <w:color w:val="0000FF"/>
              </w:rPr>
            </w:pPr>
            <w:hyperlink r:id="rId18">
              <w:r>
                <w:rPr>
                  <w:rFonts w:ascii="Times New Roman" w:cs="Times New Roman" w:eastAsia="Times New Roman" w:hAnsi="Times New Roman"/>
                  <w:sz w:val="19"/>
                  <w:szCs w:val="19"/>
                  <w:color w:val="0000FF"/>
                </w:rPr>
                <w:t>Fifth Amendment to the Section 382 Rights Agreement, dated as of June 20, 2023, by and among Centrus Energy Corp.,</w:t>
              </w:r>
            </w:hyperlink>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120" w:type="dxa"/>
            <w:vAlign w:val="bottom"/>
            <w:tcBorders>
              <w:top w:val="single" w:sz="8" w:color="0000FF"/>
            </w:tcBorders>
            <w:gridSpan w:val="8"/>
          </w:tcPr>
          <w:p>
            <w:pPr>
              <w:spacing w:after="0" w:line="169" w:lineRule="exact"/>
              <w:rPr>
                <w:rFonts w:ascii="Times New Roman" w:cs="Times New Roman" w:eastAsia="Times New Roman" w:hAnsi="Times New Roman"/>
                <w:sz w:val="19"/>
                <w:szCs w:val="19"/>
                <w:color w:val="0000FF"/>
                <w:w w:val="97"/>
              </w:rPr>
            </w:pPr>
            <w:hyperlink r:id="rId18">
              <w:r>
                <w:rPr>
                  <w:rFonts w:ascii="Times New Roman" w:cs="Times New Roman" w:eastAsia="Times New Roman" w:hAnsi="Times New Roman"/>
                  <w:sz w:val="19"/>
                  <w:szCs w:val="19"/>
                  <w:color w:val="0000FF"/>
                  <w:w w:val="97"/>
                </w:rPr>
                <w:t>Computershare Trust Company, N.A. and Computershare Inc. (incorporated by reference to Exhibit 4.1 of the Company’s</w:t>
              </w:r>
            </w:hyperlink>
          </w:p>
        </w:tc>
        <w:tc>
          <w:tcPr>
            <w:tcW w:w="20" w:type="dxa"/>
            <w:vAlign w:val="bottom"/>
          </w:tcPr>
          <w:p>
            <w:pPr>
              <w:spacing w:after="0"/>
              <w:rPr>
                <w:sz w:val="14"/>
                <w:szCs w:val="14"/>
                <w:color w:val="auto"/>
              </w:rPr>
            </w:pPr>
          </w:p>
        </w:tc>
        <w:tc>
          <w:tcPr>
            <w:tcW w:w="220" w:type="dxa"/>
            <w:vAlign w:val="bottom"/>
            <w:gridSpan w:val="7"/>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0" w:type="dxa"/>
            <w:vAlign w:val="bottom"/>
            <w:tcBorders>
              <w:top w:val="single" w:sz="8" w:color="0000FF"/>
            </w:tcBorders>
            <w:gridSpan w:val="11"/>
          </w:tcPr>
          <w:p>
            <w:pPr>
              <w:spacing w:after="0" w:line="169" w:lineRule="exact"/>
              <w:rPr>
                <w:rFonts w:ascii="Times New Roman" w:cs="Times New Roman" w:eastAsia="Times New Roman" w:hAnsi="Times New Roman"/>
                <w:sz w:val="19"/>
                <w:szCs w:val="19"/>
                <w:color w:val="0000FF"/>
              </w:rPr>
            </w:pPr>
            <w:hyperlink r:id="rId18">
              <w:r>
                <w:rPr>
                  <w:rFonts w:ascii="Times New Roman" w:cs="Times New Roman" w:eastAsia="Times New Roman" w:hAnsi="Times New Roman"/>
                  <w:sz w:val="19"/>
                  <w:szCs w:val="19"/>
                  <w:color w:val="0000FF"/>
                </w:rPr>
                <w:t>Current Report on Form 8-K, filed on June 21, 2023)</w:t>
              </w:r>
            </w:hyperlink>
          </w:p>
        </w:tc>
        <w:tc>
          <w:tcPr>
            <w:tcW w:w="160" w:type="dxa"/>
            <w:vAlign w:val="bottom"/>
            <w:gridSpan w:val="5"/>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5180" w:type="dxa"/>
            <w:vAlign w:val="bottom"/>
            <w:tcBorders>
              <w:left w:val="single" w:sz="8" w:color="0000FF"/>
            </w:tcBorders>
            <w:gridSpan w:val="6"/>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23"/>
        </w:trPr>
        <w:tc>
          <w:tcPr>
            <w:tcW w:w="9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4.7</w:t>
            </w:r>
          </w:p>
        </w:tc>
        <w:tc>
          <w:tcPr>
            <w:tcW w:w="560" w:type="dxa"/>
            <w:vAlign w:val="bottom"/>
          </w:tcPr>
          <w:p>
            <w:pPr>
              <w:spacing w:after="0"/>
              <w:rPr>
                <w:sz w:val="19"/>
                <w:szCs w:val="19"/>
                <w:color w:val="auto"/>
              </w:rPr>
            </w:pPr>
          </w:p>
        </w:tc>
        <w:tc>
          <w:tcPr>
            <w:tcW w:w="9520" w:type="dxa"/>
            <w:vAlign w:val="bottom"/>
            <w:gridSpan w:val="19"/>
          </w:tcPr>
          <w:p>
            <w:pPr>
              <w:spacing w:after="0"/>
              <w:rPr>
                <w:rFonts w:ascii="Times New Roman" w:cs="Times New Roman" w:eastAsia="Times New Roman" w:hAnsi="Times New Roman"/>
                <w:sz w:val="19"/>
                <w:szCs w:val="19"/>
                <w:color w:val="0000FF"/>
              </w:rPr>
            </w:pPr>
            <w:hyperlink r:id="rId19">
              <w:r>
                <w:rPr>
                  <w:rFonts w:ascii="Times New Roman" w:cs="Times New Roman" w:eastAsia="Times New Roman" w:hAnsi="Times New Roman"/>
                  <w:sz w:val="19"/>
                  <w:szCs w:val="19"/>
                  <w:color w:val="0000FF"/>
                </w:rPr>
                <w:t>Sixth Amendment to the Section 382 Rights Agreement, dated as of May 28, 2024, by and among Centrus Energy Corp.,</w:t>
              </w:r>
            </w:hyperlink>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140" w:type="dxa"/>
            <w:vAlign w:val="bottom"/>
            <w:tcBorders>
              <w:top w:val="single" w:sz="8" w:color="0000FF"/>
            </w:tcBorders>
            <w:gridSpan w:val="9"/>
          </w:tcPr>
          <w:p>
            <w:pPr>
              <w:spacing w:after="0" w:line="169" w:lineRule="exact"/>
              <w:rPr>
                <w:rFonts w:ascii="Times New Roman" w:cs="Times New Roman" w:eastAsia="Times New Roman" w:hAnsi="Times New Roman"/>
                <w:sz w:val="19"/>
                <w:szCs w:val="19"/>
                <w:color w:val="0000FF"/>
                <w:w w:val="98"/>
              </w:rPr>
            </w:pPr>
            <w:hyperlink r:id="rId19">
              <w:r>
                <w:rPr>
                  <w:rFonts w:ascii="Times New Roman" w:cs="Times New Roman" w:eastAsia="Times New Roman" w:hAnsi="Times New Roman"/>
                  <w:sz w:val="19"/>
                  <w:szCs w:val="19"/>
                  <w:color w:val="0000FF"/>
                  <w:w w:val="98"/>
                </w:rPr>
                <w:t>Computershare Trust Company, N.A. and Computershare Inc. (incorporated by reference to Exhibit 4.1 of the Company’s</w:t>
              </w:r>
            </w:hyperlink>
          </w:p>
        </w:tc>
        <w:tc>
          <w:tcPr>
            <w:tcW w:w="220" w:type="dxa"/>
            <w:vAlign w:val="bottom"/>
            <w:gridSpan w:val="7"/>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0" w:type="dxa"/>
            <w:vAlign w:val="bottom"/>
            <w:tcBorders>
              <w:top w:val="single" w:sz="8" w:color="0000FF"/>
            </w:tcBorders>
            <w:gridSpan w:val="11"/>
          </w:tcPr>
          <w:p>
            <w:pPr>
              <w:spacing w:after="0" w:line="169" w:lineRule="exact"/>
              <w:rPr>
                <w:rFonts w:ascii="Times New Roman" w:cs="Times New Roman" w:eastAsia="Times New Roman" w:hAnsi="Times New Roman"/>
                <w:sz w:val="19"/>
                <w:szCs w:val="19"/>
                <w:color w:val="0000FF"/>
              </w:rPr>
            </w:pPr>
            <w:hyperlink r:id="rId19">
              <w:r>
                <w:rPr>
                  <w:rFonts w:ascii="Times New Roman" w:cs="Times New Roman" w:eastAsia="Times New Roman" w:hAnsi="Times New Roman"/>
                  <w:sz w:val="19"/>
                  <w:szCs w:val="19"/>
                  <w:color w:val="0000FF"/>
                </w:rPr>
                <w:t>Current Report on Form 8-K, filed on May 28, 2024)</w:t>
              </w:r>
            </w:hyperlink>
          </w:p>
        </w:tc>
        <w:tc>
          <w:tcPr>
            <w:tcW w:w="160" w:type="dxa"/>
            <w:vAlign w:val="bottom"/>
            <w:gridSpan w:val="5"/>
          </w:tcPr>
          <w:p>
            <w:pPr>
              <w:spacing w:after="0"/>
              <w:rPr>
                <w:sz w:val="14"/>
                <w:szCs w:val="14"/>
                <w:color w:val="auto"/>
              </w:rPr>
            </w:pPr>
          </w:p>
        </w:tc>
        <w:tc>
          <w:tcPr>
            <w:tcW w:w="160" w:type="dxa"/>
            <w:vAlign w:val="bottom"/>
            <w:gridSpan w:val="3"/>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5400" w:type="dxa"/>
            <w:vAlign w:val="bottom"/>
            <w:tcBorders>
              <w:left w:val="single" w:sz="8" w:color="0000FF"/>
            </w:tcBorders>
            <w:gridSpan w:val="1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23"/>
        </w:trPr>
        <w:tc>
          <w:tcPr>
            <w:tcW w:w="9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4.8</w:t>
            </w:r>
          </w:p>
        </w:tc>
        <w:tc>
          <w:tcPr>
            <w:tcW w:w="560" w:type="dxa"/>
            <w:vAlign w:val="bottom"/>
          </w:tcPr>
          <w:p>
            <w:pPr>
              <w:spacing w:after="0"/>
              <w:rPr>
                <w:sz w:val="19"/>
                <w:szCs w:val="19"/>
                <w:color w:val="auto"/>
              </w:rPr>
            </w:pPr>
          </w:p>
        </w:tc>
        <w:tc>
          <w:tcPr>
            <w:tcW w:w="9520" w:type="dxa"/>
            <w:vAlign w:val="bottom"/>
            <w:gridSpan w:val="19"/>
          </w:tcPr>
          <w:p>
            <w:pPr>
              <w:spacing w:after="0"/>
              <w:rPr>
                <w:rFonts w:ascii="Times New Roman" w:cs="Times New Roman" w:eastAsia="Times New Roman" w:hAnsi="Times New Roman"/>
                <w:sz w:val="19"/>
                <w:szCs w:val="19"/>
                <w:color w:val="0000FF"/>
              </w:rPr>
            </w:pPr>
            <w:hyperlink r:id="rId20">
              <w:r>
                <w:rPr>
                  <w:rFonts w:ascii="Times New Roman" w:cs="Times New Roman" w:eastAsia="Times New Roman" w:hAnsi="Times New Roman"/>
                  <w:sz w:val="19"/>
                  <w:szCs w:val="19"/>
                  <w:color w:val="0000FF"/>
                </w:rPr>
                <w:t>Seventh Amendment to the Section 382 Rights Agreement, dated as of June 18, 2026, by and among Centrus Energy Corp.,</w:t>
              </w:r>
            </w:hyperlink>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360" w:type="dxa"/>
            <w:vAlign w:val="bottom"/>
            <w:tcBorders>
              <w:top w:val="single" w:sz="8" w:color="0000FF"/>
            </w:tcBorders>
            <w:gridSpan w:val="16"/>
          </w:tcPr>
          <w:p>
            <w:pPr>
              <w:spacing w:after="0" w:line="169" w:lineRule="exact"/>
              <w:rPr>
                <w:rFonts w:ascii="Times New Roman" w:cs="Times New Roman" w:eastAsia="Times New Roman" w:hAnsi="Times New Roman"/>
                <w:sz w:val="19"/>
                <w:szCs w:val="19"/>
                <w:color w:val="0000FF"/>
              </w:rPr>
            </w:pPr>
            <w:hyperlink r:id="rId20">
              <w:r>
                <w:rPr>
                  <w:rFonts w:ascii="Times New Roman" w:cs="Times New Roman" w:eastAsia="Times New Roman" w:hAnsi="Times New Roman"/>
                  <w:sz w:val="19"/>
                  <w:szCs w:val="19"/>
                  <w:color w:val="0000FF"/>
                </w:rPr>
                <w:t>Computershare Trust Company, N.A. and Computershare Inc. (incorporated by reference to Exhibit 4.1 of the Company’s</w:t>
              </w:r>
            </w:hyperlink>
          </w:p>
        </w:tc>
        <w:tc>
          <w:tcPr>
            <w:tcW w:w="160" w:type="dxa"/>
            <w:vAlign w:val="bottom"/>
            <w:gridSpan w:val="3"/>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0" w:type="dxa"/>
            <w:vAlign w:val="bottom"/>
            <w:tcBorders>
              <w:top w:val="single" w:sz="8" w:color="0000FF"/>
            </w:tcBorders>
            <w:gridSpan w:val="11"/>
          </w:tcPr>
          <w:p>
            <w:pPr>
              <w:spacing w:after="0" w:line="169" w:lineRule="exact"/>
              <w:rPr>
                <w:rFonts w:ascii="Times New Roman" w:cs="Times New Roman" w:eastAsia="Times New Roman" w:hAnsi="Times New Roman"/>
                <w:sz w:val="19"/>
                <w:szCs w:val="19"/>
                <w:color w:val="0000FF"/>
              </w:rPr>
            </w:pPr>
            <w:hyperlink r:id="rId20">
              <w:r>
                <w:rPr>
                  <w:rFonts w:ascii="Times New Roman" w:cs="Times New Roman" w:eastAsia="Times New Roman" w:hAnsi="Times New Roman"/>
                  <w:sz w:val="19"/>
                  <w:szCs w:val="19"/>
                  <w:color w:val="0000FF"/>
                </w:rPr>
                <w:t>Current Report on Form 8-K, filed on June 18, 2026)</w:t>
              </w:r>
            </w:hyperlink>
          </w:p>
        </w:tc>
        <w:tc>
          <w:tcPr>
            <w:tcW w:w="320" w:type="dxa"/>
            <w:vAlign w:val="bottom"/>
            <w:gridSpan w:val="8"/>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020"/>
          </w:cols>
          <w:pgMar w:left="320" w:top="1058" w:right="5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SIGNATURE</w:t>
      </w:r>
    </w:p>
    <w:p>
      <w:pPr>
        <w:spacing w:after="0" w:line="397" w:lineRule="exact"/>
        <w:rPr>
          <w:sz w:val="20"/>
          <w:szCs w:val="20"/>
          <w:color w:val="auto"/>
        </w:rPr>
      </w:pPr>
    </w:p>
    <w:p>
      <w:pPr>
        <w:ind w:firstLine="445"/>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4" w:lineRule="exact"/>
        <w:rPr>
          <w:sz w:val="20"/>
          <w:szCs w:val="20"/>
          <w:color w:val="auto"/>
        </w:rPr>
      </w:pPr>
    </w:p>
    <w:tbl>
      <w:tblPr>
        <w:tblLayout w:type="fixed"/>
        <w:tblInd w:w="480" w:type="dxa"/>
        <w:tblCellMar>
          <w:top w:w="0" w:type="dxa"/>
          <w:left w:w="0" w:type="dxa"/>
          <w:bottom w:w="0" w:type="dxa"/>
          <w:right w:w="0" w:type="dxa"/>
        </w:tblCellMar>
      </w:tblPr>
      <w:tr>
        <w:trPr>
          <w:trHeight w:val="258"/>
        </w:trPr>
        <w:tc>
          <w:tcPr>
            <w:tcW w:w="26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Centrus Energy Corp.</w:t>
            </w:r>
          </w:p>
        </w:tc>
      </w:tr>
      <w:tr>
        <w:trPr>
          <w:trHeight w:val="773"/>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Date:   June 18, 2026</w:t>
            </w:r>
          </w:p>
        </w:tc>
        <w:tc>
          <w:tcPr>
            <w:tcW w:w="14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By:</w:t>
            </w:r>
          </w:p>
        </w:tc>
        <w:tc>
          <w:tcPr>
            <w:tcW w:w="6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 Todd M. Tinelli</w:t>
            </w:r>
          </w:p>
        </w:tc>
      </w:tr>
      <w:tr>
        <w:trPr>
          <w:trHeight w:val="244"/>
        </w:trPr>
        <w:tc>
          <w:tcPr>
            <w:tcW w:w="26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Todd M. Tinelli</w:t>
            </w:r>
          </w:p>
        </w:tc>
      </w:tr>
      <w:tr>
        <w:trPr>
          <w:trHeight w:val="258"/>
        </w:trPr>
        <w:tc>
          <w:tcPr>
            <w:tcW w:w="26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Senior Vice President, Chief Financial Officer, and Treasurer</w:t>
            </w:r>
          </w:p>
        </w:tc>
      </w:tr>
    </w:tbl>
    <w:p>
      <w:pPr>
        <w:spacing w:after="0" w:line="1" w:lineRule="exact"/>
        <w:rPr>
          <w:sz w:val="20"/>
          <w:szCs w:val="20"/>
          <w:color w:val="auto"/>
        </w:rPr>
      </w:pPr>
    </w:p>
    <w:sectPr>
      <w:pgSz w:w="11900" w:h="16838" w:orient="portrait"/>
      <w:cols w:equalWidth="0" w:num="1">
        <w:col w:w="11220"/>
      </w:cols>
      <w:pgMar w:left="320" w:top="8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s://www.sec.gov/Archives/edgar/data/1065059/000106505916000072/ex3-1_20160406a.htm" TargetMode="External"/><Relationship Id="rId13" Type="http://schemas.openxmlformats.org/officeDocument/2006/relationships/hyperlink" Target="https://www.sec.gov/Archives/edgar/data/1065059/000106505916000072/ex4-1_20160406a.htm" TargetMode="External"/><Relationship Id="rId14" Type="http://schemas.openxmlformats.org/officeDocument/2006/relationships/hyperlink" Target="https://www.sec.gov/Archives/edgar/data/1065059/000106505917000002/ex41_20170105.htm" TargetMode="External"/><Relationship Id="rId15" Type="http://schemas.openxmlformats.org/officeDocument/2006/relationships/hyperlink" Target="https://www.sec.gov/Archives/edgar/data/1065059/000106505919000008/exhibit41_centrus-secondam.htm" TargetMode="External"/><Relationship Id="rId16" Type="http://schemas.openxmlformats.org/officeDocument/2006/relationships/hyperlink" Target="https://www.sec.gov/Archives/edgar/data/1065059/000110465920046409/tm2015784d3_ex4-1.htm" TargetMode="External"/><Relationship Id="rId17" Type="http://schemas.openxmlformats.org/officeDocument/2006/relationships/hyperlink" Target="https://www.sec.gov/Archives/edgar/data/1065059/000106505921000025/ex41_20210617.htm" TargetMode="External"/><Relationship Id="rId18" Type="http://schemas.openxmlformats.org/officeDocument/2006/relationships/hyperlink" Target="https://www.sec.gov/Archives/edgar/data/1065059/000106505923000022/exhibit_41x20230620x8-k.htm" TargetMode="External"/><Relationship Id="rId19" Type="http://schemas.openxmlformats.org/officeDocument/2006/relationships/hyperlink" Target="https://www.sec.gov/Archives/edgar/data/1065059/000106505924000033/exhibit416thamendmenttor.htm" TargetMode="External"/><Relationship Id="rId20" Type="http://schemas.openxmlformats.org/officeDocument/2006/relationships/hyperlink" Target="https://www.sec.gov/Archives/edgar/data/1065059/000162828026044386/ex41_seventhamendmentto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2026-06-18T16:02:37Z</dcterms:created>
  <dcterms:modified xsi:type="dcterms:W3CDTF">2026-06-18T16:02:37Z</dcterms:modified>
</cp:coreProperties>
</file>