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47404.xml.htm"/>
      <w:bookmarkStart w:id="1" w:name="kswkform4_17866474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TINELLI TODD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CENTRUS ENERGY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6901 ROCKLEDGE DRIVE,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CENTRUS ENERGY CORP</w:t>
              </w:r>
            </w:hyperlink>
            <w:r>
              <w:rPr/>
              <w:t xml:space="preserve"> [ </w:t>
            </w:r>
            <w:r>
              <w:rPr>
                <w:rFonts w:ascii="Times;serif" w:hAnsi="Times;serif"/>
                <w:color w:val="0000FF"/>
                <w:sz w:val="24"/>
                <w:shd w:fill="FFFFFF" w:val="clear"/>
              </w:rPr>
              <w:t>LEU</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CFO &amp;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189.19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RSUs issued pursuant to the Company's equity incentive plan on August 11, 2025. 456 of such RSUs vested on August 11, 2026 and settled at such time by issuing shares of Class A Common Stock as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surrendered to the Company to satisfy tax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annually in equal installments on each August 11 following the grant date, with August 11, 2026 as the first such vesting date and continuing through August 11, 2028, provided that Mr. Tinelli remains actively employed by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Vested shares will be delivered to the Reporting Person as soon as administratively practicable following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Richard Emery,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9455" TargetMode="External"/><Relationship Id="rId5" Type="http://schemas.openxmlformats.org/officeDocument/2006/relationships/hyperlink" Target="http://www.sec.gov/cgi-bin/browse-edgar?action=getcompany&amp;CIK=00010650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3836</Characters>
  <CharactersWithSpaces>4467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