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1534160</wp:posOffset>
            </wp:positionH>
            <wp:positionV relativeFrom="page">
              <wp:posOffset>621030</wp:posOffset>
            </wp:positionV>
            <wp:extent cx="4480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0560" cy="6985"/>
                    </a:xfrm>
                    <a:prstGeom prst="rect">
                      <a:avLst/>
                    </a:prstGeom>
                    <a:noFill/>
                  </pic:spPr>
                </pic:pic>
              </a:graphicData>
            </a:graphic>
          </wp:anchor>
        </w:drawing>
        <w:drawing>
          <wp:anchor simplePos="0" relativeHeight="251657728" behindDoc="1" locked="0" layoutInCell="0" allowOverlap="1">
            <wp:simplePos x="0" y="0"/>
            <wp:positionH relativeFrom="page">
              <wp:posOffset>1534160</wp:posOffset>
            </wp:positionH>
            <wp:positionV relativeFrom="page">
              <wp:posOffset>587375</wp:posOffset>
            </wp:positionV>
            <wp:extent cx="448056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0560" cy="1333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C0C0C0"/>
        </w:rPr>
        <w:t>_________________</w:t>
      </w:r>
    </w:p>
    <w:p>
      <w:pPr>
        <w:spacing w:after="0" w:line="1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Date of Report (Date of earliest event reported): June 18, 2026</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Centrus Energy Corp.</w:t>
      </w:r>
    </w:p>
    <w:p>
      <w:pPr>
        <w:spacing w:after="0" w:line="6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p>
      <w:pPr>
        <w:sectPr>
          <w:pgSz w:w="11900" w:h="16838" w:orient="portrait"/>
          <w:cols w:equalWidth="0" w:num="1">
            <w:col w:w="11060"/>
          </w:cols>
          <w:pgMar w:left="300" w:top="1214" w:right="539" w:bottom="1440" w:gutter="0" w:footer="0" w:header="0"/>
        </w:sectPr>
      </w:pPr>
    </w:p>
    <w:p>
      <w:pPr>
        <w:spacing w:after="0" w:line="32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1-14287</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52-2107911</w:t>
      </w:r>
    </w:p>
    <w:p>
      <w:pPr>
        <w:spacing w:after="0" w:line="41" w:lineRule="exact"/>
        <w:rPr>
          <w:sz w:val="24"/>
          <w:szCs w:val="24"/>
          <w:color w:val="auto"/>
        </w:rPr>
      </w:pPr>
    </w:p>
    <w:p>
      <w:pPr>
        <w:sectPr>
          <w:pgSz w:w="11900" w:h="16838" w:orient="portrait"/>
          <w:cols w:equalWidth="0" w:num="3">
            <w:col w:w="4740" w:space="720"/>
            <w:col w:w="1640" w:space="720"/>
            <w:col w:w="3240"/>
          </w:cols>
          <w:pgMar w:left="300" w:top="1214" w:right="5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480" w:space="480"/>
            <w:col w:w="1540" w:space="640"/>
            <w:col w:w="3920"/>
          </w:cols>
          <w:pgMar w:left="300" w:top="1214" w:right="539" w:bottom="1440" w:gutter="0" w:footer="0" w:header="0"/>
          <w:type w:val="continuous"/>
        </w:sectPr>
      </w:pPr>
    </w:p>
    <w:p>
      <w:pPr>
        <w:spacing w:after="0" w:line="7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6901 Rockledge Drive, Suite 800</w:t>
      </w:r>
    </w:p>
    <w:p>
      <w:pPr>
        <w:spacing w:after="0" w:line="1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Bethesda, MD 20817</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7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 564-3200</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62"/>
        </w:trPr>
        <w:tc>
          <w:tcPr>
            <w:tcW w:w="1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1580" w:type="dxa"/>
            <w:vAlign w:val="bottom"/>
          </w:tcPr>
          <w:p>
            <w:pPr>
              <w:spacing w:after="0"/>
              <w:rPr>
                <w:sz w:val="14"/>
                <w:szCs w:val="14"/>
                <w:color w:val="auto"/>
              </w:rPr>
            </w:pPr>
          </w:p>
        </w:tc>
        <w:tc>
          <w:tcPr>
            <w:tcW w:w="228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Trading Symbol</w:t>
            </w:r>
          </w:p>
        </w:tc>
        <w:tc>
          <w:tcPr>
            <w:tcW w:w="3160" w:type="dxa"/>
            <w:vAlign w:val="bottom"/>
            <w:gridSpan w:val="2"/>
          </w:tcPr>
          <w:p>
            <w:pPr>
              <w:jc w:val="center"/>
              <w:ind w:left="593"/>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4560" w:type="dxa"/>
            <w:vAlign w:val="bottom"/>
            <w:gridSpan w:val="3"/>
          </w:tcPr>
          <w:p>
            <w:pPr>
              <w:jc w:val="center"/>
              <w:ind w:left="29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760" w:type="dxa"/>
            <w:vAlign w:val="bottom"/>
          </w:tcPr>
          <w:p>
            <w:pPr>
              <w:spacing w:after="0"/>
              <w:rPr>
                <w:sz w:val="16"/>
                <w:szCs w:val="16"/>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LEU</w:t>
            </w:r>
          </w:p>
        </w:tc>
        <w:tc>
          <w:tcPr>
            <w:tcW w:w="6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306"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208915</wp:posOffset>
            </wp:positionV>
            <wp:extent cx="448056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80560" cy="133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188595</wp:posOffset>
            </wp:positionV>
            <wp:extent cx="44805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0560" cy="6985"/>
                    </a:xfrm>
                    <a:prstGeom prst="rect">
                      <a:avLst/>
                    </a:prstGeom>
                    <a:noFill/>
                  </pic:spPr>
                </pic:pic>
              </a:graphicData>
            </a:graphic>
          </wp:anchor>
        </w:drawing>
      </w:r>
    </w:p>
    <w:p>
      <w:pPr>
        <w:sectPr>
          <w:pgSz w:w="11900" w:h="16838" w:orient="portrait"/>
          <w:cols w:equalWidth="0" w:num="1">
            <w:col w:w="11060"/>
          </w:cols>
          <w:pgMar w:left="300" w:top="1214"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89" w:lineRule="exact"/>
        <w:rPr>
          <w:sz w:val="20"/>
          <w:szCs w:val="20"/>
          <w:color w:val="auto"/>
        </w:rPr>
      </w:pPr>
    </w:p>
    <w:p>
      <w:pPr>
        <w:ind w:right="40" w:firstLine="229"/>
        <w:spacing w:after="0" w:line="248" w:lineRule="auto"/>
        <w:rPr>
          <w:sz w:val="20"/>
          <w:szCs w:val="20"/>
          <w:color w:val="auto"/>
        </w:rPr>
      </w:pPr>
      <w:r>
        <w:rPr>
          <w:rFonts w:ascii="Times New Roman" w:cs="Times New Roman" w:eastAsia="Times New Roman" w:hAnsi="Times New Roman"/>
          <w:sz w:val="16"/>
          <w:szCs w:val="16"/>
          <w:color w:val="auto"/>
        </w:rPr>
        <w:t>On June 18, 2026, Centrus Energy Corp. (the “Company”) entered into a Seventh Amendment to the Section 382 Rights Agreement (the “Seventh Amendment”), which amends the Section 382 Rights Agreement, dated as of April 6, 2016 (the “Rights Agreement”),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(v) the Fifth Amendment to the Rights Agreement dated as of June 20, 2023; and (vi) the Sixth Amendment to the Rights Agreement dated as of May 28, 2024. The Seventh Amendment was approved by the Board of Directors of the Company (the “Board”) on March 10, 2026, and approved by the Company’s stockholders at the Company’s annual meeting of the stockholders held on June 18, 2026.</w:t>
      </w:r>
    </w:p>
    <w:p>
      <w:pPr>
        <w:spacing w:after="0" w:line="165" w:lineRule="exact"/>
        <w:rPr>
          <w:sz w:val="20"/>
          <w:szCs w:val="20"/>
          <w:color w:val="auto"/>
        </w:rPr>
      </w:pPr>
    </w:p>
    <w:p>
      <w:pPr>
        <w:ind w:right="200" w:firstLine="229"/>
        <w:spacing w:after="0" w:line="261" w:lineRule="auto"/>
        <w:rPr>
          <w:sz w:val="20"/>
          <w:szCs w:val="20"/>
          <w:color w:val="auto"/>
        </w:rPr>
      </w:pPr>
      <w:r>
        <w:rPr>
          <w:rFonts w:ascii="Times New Roman" w:cs="Times New Roman" w:eastAsia="Times New Roman" w:hAnsi="Times New Roman"/>
          <w:sz w:val="16"/>
          <w:szCs w:val="16"/>
          <w:color w:val="auto"/>
        </w:rPr>
        <w:t>The Seventh Amendment (a) extends the Final Expiration Date (as defined in the Rights Agreement) from June 30, 2026 to June 30, 2029 and (b) increases the purchase price for each one one-thousandth (1/1000th) of a share of the Company’s Series A Participating Cumulative Preferred Stock, par value $1.00 per share, from $160.38 to $1,143.95 in light of the increase in the trading price of the Company’s Class A common stock since the adoption of the Fifth Amendment.</w:t>
      </w:r>
    </w:p>
    <w:p>
      <w:pPr>
        <w:spacing w:after="0" w:line="153" w:lineRule="exact"/>
        <w:rPr>
          <w:sz w:val="20"/>
          <w:szCs w:val="20"/>
          <w:color w:val="auto"/>
        </w:rPr>
      </w:pPr>
    </w:p>
    <w:p>
      <w:pPr>
        <w:ind w:right="160" w:firstLine="229"/>
        <w:spacing w:after="0" w:line="254" w:lineRule="auto"/>
        <w:rPr>
          <w:sz w:val="20"/>
          <w:szCs w:val="20"/>
          <w:color w:val="auto"/>
        </w:rPr>
      </w:pPr>
      <w:r>
        <w:rPr>
          <w:rFonts w:ascii="Times New Roman" w:cs="Times New Roman" w:eastAsia="Times New Roman" w:hAnsi="Times New Roman"/>
          <w:sz w:val="16"/>
          <w:szCs w:val="16"/>
          <w:color w:val="auto"/>
        </w:rPr>
        <w:t>The Seventh Amendment was not adopted as a result of, or in response to, any effort to acquire control of the Company. The Seventh Amendment has been adopted in order to preserve for the Company’s stockholders the long-term value of the Company’s net operating loss carry-forwards for United States federal income tax purposes and other tax benefits.</w:t>
      </w:r>
    </w:p>
    <w:p>
      <w:pPr>
        <w:spacing w:after="0" w:line="169" w:lineRule="exact"/>
        <w:rPr>
          <w:sz w:val="20"/>
          <w:szCs w:val="20"/>
          <w:color w:val="auto"/>
        </w:rPr>
      </w:pPr>
    </w:p>
    <w:p>
      <w:pPr>
        <w:ind w:firstLine="229"/>
        <w:spacing w:after="0" w:line="289" w:lineRule="auto"/>
        <w:rPr>
          <w:sz w:val="20"/>
          <w:szCs w:val="20"/>
          <w:color w:val="auto"/>
        </w:rPr>
      </w:pPr>
      <w:r>
        <w:rPr>
          <w:rFonts w:ascii="Times New Roman" w:cs="Times New Roman" w:eastAsia="Times New Roman" w:hAnsi="Times New Roman"/>
          <w:sz w:val="14"/>
          <w:szCs w:val="14"/>
          <w:color w:val="auto"/>
        </w:rPr>
        <w:t>The foregoing description does not purport to be complete and is qualified in its entirety by reference to the full text of the Rights Agreement, which was filed with the Securities and Exchange Commission in a Current Report on Form 8-K on April 7, 2016, the First Amendment, which was filed with the Securities and Exchange Commission in a Current Report on Form 8-K on January 5, 2017, the Second Amendment, which was filed with the Securities and Exchange Commission in a Current Report on Form 8-K on April 4, 2019, the Third Amendment, which was filed with the Securities and Exchange Commission in a Current Report on Form 8-K on April 14, 2020, the Fourth Amendment, which was filed with the Securities and Exchange Commission in a Current Report on Form 8-K on June 16, 2021, the Fifth Amendment, which was filed with the Securities and Exchange Commission in a Current Report on Form 8-K on June 20, 2023, the Sixth Amendment, which was filed with the Securities and Exchange Commission in a Current Report on Form 8-K on May 28, 2024, and the Seventh Amendment, a copy of which is attached as Exhibit 4.1 hereto and incorporated herein by reference.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3.03 Material Modification to Rights of Security Holders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information set forth in Item 1.01 of this Current Report on Form 8-K is incorporated into this Item 3.03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ind w:right="240" w:firstLine="229"/>
        <w:spacing w:after="0" w:line="273" w:lineRule="auto"/>
        <w:rPr>
          <w:sz w:val="20"/>
          <w:szCs w:val="20"/>
          <w:color w:val="auto"/>
        </w:rPr>
      </w:pPr>
      <w:r>
        <w:rPr>
          <w:rFonts w:ascii="Times New Roman" w:cs="Times New Roman" w:eastAsia="Times New Roman" w:hAnsi="Times New Roman"/>
          <w:sz w:val="16"/>
          <w:szCs w:val="16"/>
          <w:color w:val="auto"/>
        </w:rPr>
        <w:t>On June 18, 2026, the Board appointed Yanhong Dai, age 53, to serve as the Company’s principal accounting officer, effective June 18, 2026. Todd M. Tinelli will remain the Company’s Senior Vice President, Chief Financial Officer and Treasurer,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528320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0" w:right="319" w:bottom="1440" w:gutter="0" w:footer="0" w:header="0"/>
        </w:sectPr>
      </w:pPr>
    </w:p>
    <w:bookmarkStart w:id="2" w:name="page3"/>
    <w:bookmarkEnd w:id="2"/>
    <w:p>
      <w:pPr>
        <w:ind w:firstLine="229"/>
        <w:spacing w:after="0" w:line="248" w:lineRule="auto"/>
        <w:rPr>
          <w:sz w:val="20"/>
          <w:szCs w:val="20"/>
          <w:color w:val="auto"/>
        </w:rPr>
      </w:pPr>
      <w:r>
        <w:rPr>
          <w:rFonts w:ascii="Times New Roman" w:cs="Times New Roman" w:eastAsia="Times New Roman" w:hAnsi="Times New Roman"/>
          <w:sz w:val="16"/>
          <w:szCs w:val="16"/>
          <w:color w:val="auto"/>
        </w:rPr>
        <w:t>Ms. Dai has served as Chief Accounting Officer at the Company since February 2026. In that role, Ms. Dai has been primarily responsible for technical accounting, financial reporting and compliance, and other accounting functions, with Mr. Tinelli then serving as the principal accounting officer of the Company. From October 2025 until February 2026, Ms. Dai served as Senior Director of Finance at the Company. Prior to joining the Company, Ms. Dai was Managing Director, Corporate Controller at Hartree Partners LP from December 2022 to October 2025, and Senior Manager, SEC Reporting and Technical Accounting at PC Connection, Inc. from December 2020 to December 2022. Earlier in her career, Ms. Dai served in various accounting roles at Sprague Energy. Ms. Dai earned a B.S. in Physics from Hubei Normal University, an M.S. in Physics from Eastern Michigan University, and an M.S. in Accounting from the University of New Hampshire, and is a certified public accountant.</w:t>
      </w:r>
    </w:p>
    <w:p>
      <w:pPr>
        <w:spacing w:after="0" w:line="175" w:lineRule="exact"/>
        <w:rPr>
          <w:sz w:val="20"/>
          <w:szCs w:val="20"/>
          <w:color w:val="auto"/>
        </w:rPr>
      </w:pPr>
    </w:p>
    <w:p>
      <w:pPr>
        <w:ind w:right="640" w:firstLine="229"/>
        <w:spacing w:after="0" w:line="259" w:lineRule="auto"/>
        <w:rPr>
          <w:sz w:val="20"/>
          <w:szCs w:val="20"/>
          <w:color w:val="auto"/>
        </w:rPr>
      </w:pPr>
      <w:r>
        <w:rPr>
          <w:rFonts w:ascii="Times New Roman" w:cs="Times New Roman" w:eastAsia="Times New Roman" w:hAnsi="Times New Roman"/>
          <w:sz w:val="16"/>
          <w:szCs w:val="16"/>
          <w:color w:val="auto"/>
        </w:rPr>
        <w:t>Ms. Dai’s annual base salary is $250,000 and she is eligible to receive an annual cash incentive award target equal to 40% of her base salary. Ms. Dai is also eligible to participate in the Company’s benefit plans that are generally available to employees of the Company.</w:t>
      </w:r>
    </w:p>
    <w:p>
      <w:pPr>
        <w:spacing w:after="0" w:line="165" w:lineRule="exact"/>
        <w:rPr>
          <w:sz w:val="20"/>
          <w:szCs w:val="20"/>
          <w:color w:val="auto"/>
        </w:rPr>
      </w:pPr>
    </w:p>
    <w:p>
      <w:pPr>
        <w:ind w:right="460" w:firstLine="229"/>
        <w:spacing w:after="0" w:line="330" w:lineRule="auto"/>
        <w:rPr>
          <w:sz w:val="20"/>
          <w:szCs w:val="20"/>
          <w:color w:val="auto"/>
        </w:rPr>
      </w:pPr>
      <w:r>
        <w:rPr>
          <w:rFonts w:ascii="Times New Roman" w:cs="Times New Roman" w:eastAsia="Times New Roman" w:hAnsi="Times New Roman"/>
          <w:sz w:val="14"/>
          <w:szCs w:val="14"/>
          <w:color w:val="auto"/>
        </w:rPr>
        <w:t>There is no arrangement or understanding with any person pursuant to which Ms. Dai is being appointed as principal accounting officer. There are no family relationships between Ms. Dai and any director or executive officer of the Company, and she is not a party to any transaction requiring disclosure under Item 404(a)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5.07 Submission of Matters to a Vote of Security Holders</w:t>
      </w:r>
    </w:p>
    <w:p>
      <w:pPr>
        <w:spacing w:after="0" w:line="200" w:lineRule="exact"/>
        <w:rPr>
          <w:sz w:val="20"/>
          <w:szCs w:val="20"/>
          <w:color w:val="auto"/>
        </w:rPr>
      </w:pPr>
    </w:p>
    <w:p>
      <w:pPr>
        <w:ind w:right="80" w:firstLine="229"/>
        <w:spacing w:after="0" w:line="254" w:lineRule="auto"/>
        <w:rPr>
          <w:sz w:val="20"/>
          <w:szCs w:val="20"/>
          <w:color w:val="auto"/>
        </w:rPr>
      </w:pPr>
      <w:r>
        <w:rPr>
          <w:rFonts w:ascii="Times New Roman" w:cs="Times New Roman" w:eastAsia="Times New Roman" w:hAnsi="Times New Roman"/>
          <w:sz w:val="16"/>
          <w:szCs w:val="16"/>
          <w:color w:val="auto"/>
        </w:rPr>
        <w:t>On June 18, 2026, the Company held its 2026 annual meeting of stockholders (the "Annual Meeting"). As of April 20, 2026, the record date for the Annual Meeting, there were 18,952,387 shares of the Company’s Class A common stock outstanding, each entitled to one vote. The number of shares of the Company’s Class A common stock present at the annual meeting was 12,756,006, or approximately 67%.</w:t>
      </w:r>
    </w:p>
    <w:p>
      <w:pPr>
        <w:spacing w:after="0" w:line="159" w:lineRule="exact"/>
        <w:rPr>
          <w:sz w:val="20"/>
          <w:szCs w:val="20"/>
          <w:color w:val="auto"/>
        </w:rPr>
      </w:pPr>
    </w:p>
    <w:p>
      <w:pPr>
        <w:ind w:right="300" w:firstLine="229"/>
        <w:spacing w:after="0" w:line="273" w:lineRule="auto"/>
        <w:rPr>
          <w:sz w:val="20"/>
          <w:szCs w:val="20"/>
          <w:color w:val="auto"/>
        </w:rPr>
      </w:pPr>
      <w:r>
        <w:rPr>
          <w:rFonts w:ascii="Times New Roman" w:cs="Times New Roman" w:eastAsia="Times New Roman" w:hAnsi="Times New Roman"/>
          <w:sz w:val="16"/>
          <w:szCs w:val="16"/>
          <w:color w:val="auto"/>
        </w:rPr>
        <w:t>At the Annual Meeting, the Company’s stockholders voted on five proposals and cast their votes as described below. The proposals are described in detail in the Company’s 2026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Proposal 1</w:t>
      </w:r>
    </w:p>
    <w:p>
      <w:pPr>
        <w:spacing w:after="0" w:line="187" w:lineRule="exact"/>
        <w:rPr>
          <w:sz w:val="20"/>
          <w:szCs w:val="20"/>
          <w:color w:val="auto"/>
        </w:rPr>
      </w:pPr>
    </w:p>
    <w:p>
      <w:pPr>
        <w:ind w:right="340" w:firstLine="229"/>
        <w:spacing w:after="0" w:line="273" w:lineRule="auto"/>
        <w:rPr>
          <w:sz w:val="20"/>
          <w:szCs w:val="20"/>
          <w:color w:val="auto"/>
        </w:rPr>
      </w:pPr>
      <w:r>
        <w:rPr>
          <w:rFonts w:ascii="Times New Roman" w:cs="Times New Roman" w:eastAsia="Times New Roman" w:hAnsi="Times New Roman"/>
          <w:sz w:val="16"/>
          <w:szCs w:val="16"/>
          <w:color w:val="auto"/>
        </w:rPr>
        <w:t>The Company’s stockholders elected six directors (listed below) to hold office until the next annual meeting of stockholders and until his or her successor is elected and has qualified. There were no abstentions. The number of votes cast for or withheld and the broker non-votes were as follows:</w:t>
      </w:r>
    </w:p>
    <w:p>
      <w:pPr>
        <w:spacing w:after="0" w:line="360" w:lineRule="exact"/>
        <w:rPr>
          <w:sz w:val="20"/>
          <w:szCs w:val="20"/>
          <w:color w:val="auto"/>
        </w:rPr>
      </w:pPr>
    </w:p>
    <w:tbl>
      <w:tblPr>
        <w:tblLayout w:type="fixed"/>
        <w:tblInd w:w="2680" w:type="dxa"/>
        <w:tblCellMar>
          <w:top w:w="0" w:type="dxa"/>
          <w:left w:w="0" w:type="dxa"/>
          <w:bottom w:w="0" w:type="dxa"/>
          <w:right w:w="0" w:type="dxa"/>
        </w:tblCellMar>
      </w:tblPr>
      <w:tr>
        <w:trPr>
          <w:trHeight w:val="18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2"/>
              </w:rPr>
              <w:t>Nominee</w:t>
            </w:r>
          </w:p>
        </w:tc>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88"/>
              </w:rPr>
              <w:t>For</w:t>
            </w:r>
          </w:p>
        </w:tc>
        <w:tc>
          <w:tcPr>
            <w:tcW w:w="1620" w:type="dxa"/>
            <w:vAlign w:val="bottom"/>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3"/>
              </w:rPr>
              <w:t>Withheld</w:t>
            </w:r>
          </w:p>
        </w:tc>
        <w:tc>
          <w:tcPr>
            <w:tcW w:w="320" w:type="dxa"/>
            <w:vAlign w:val="bottom"/>
          </w:tcPr>
          <w:p>
            <w:pPr>
              <w:spacing w:after="0"/>
              <w:rPr>
                <w:sz w:val="16"/>
                <w:szCs w:val="16"/>
                <w:color w:val="auto"/>
              </w:rPr>
            </w:pPr>
          </w:p>
        </w:tc>
      </w:tr>
      <w:tr>
        <w:trPr>
          <w:trHeight w:val="228"/>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Kirkland H. Donald</w:t>
            </w: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8,468,308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209,498</w:t>
            </w:r>
          </w:p>
        </w:tc>
      </w:tr>
      <w:tr>
        <w:trPr>
          <w:trHeight w:val="21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Tina W. Jonas</w:t>
            </w: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6,598,641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2,079,165</w:t>
            </w:r>
          </w:p>
        </w:tc>
      </w:tr>
      <w:tr>
        <w:trPr>
          <w:trHeight w:val="21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J. Madia</w:t>
            </w: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8,418,010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259,796</w:t>
            </w:r>
          </w:p>
        </w:tc>
      </w:tr>
      <w:tr>
        <w:trPr>
          <w:trHeight w:val="21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Ray A. Rothrock</w:t>
            </w: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8,534,596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143,210</w:t>
            </w:r>
          </w:p>
        </w:tc>
      </w:tr>
      <w:tr>
        <w:trPr>
          <w:trHeight w:val="21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Amir V. Vexler</w:t>
            </w: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8,542,789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135,017</w:t>
            </w:r>
          </w:p>
        </w:tc>
      </w:tr>
      <w:tr>
        <w:trPr>
          <w:trHeight w:val="21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Mikel H. Williams</w:t>
            </w: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8,033,351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644,455</w:t>
            </w:r>
          </w:p>
        </w:tc>
      </w:tr>
    </w:tbl>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Broker Non-Votes: 4,078,200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Proposal 2</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stockholders cast their votes with respect to the approval on an advisory basis of the Company’s executive compensation (i.e., "say-on-pay")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562610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6" w:right="339" w:bottom="1440" w:gutter="0" w:footer="0" w:header="0"/>
        </w:sectPr>
      </w:pPr>
    </w:p>
    <w:bookmarkStart w:id="3" w:name="page4"/>
    <w:bookmarkEnd w:id="3"/>
    <w:tbl>
      <w:tblPr>
        <w:tblLayout w:type="fixed"/>
        <w:tblInd w:w="306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600" w:type="dxa"/>
            <w:vAlign w:val="bottom"/>
          </w:tcPr>
          <w:p>
            <w:pPr>
              <w:spacing w:after="0"/>
              <w:rPr>
                <w:sz w:val="16"/>
                <w:szCs w:val="16"/>
                <w:color w:val="auto"/>
              </w:rPr>
            </w:pP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180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6"/>
              </w:rPr>
              <w:t>Broker Non-Votes</w:t>
            </w:r>
          </w:p>
        </w:tc>
      </w:tr>
      <w:tr>
        <w:trPr>
          <w:trHeight w:val="20"/>
        </w:trPr>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8"/>
        </w:trPr>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w w:val="93"/>
              </w:rPr>
              <w:t>8,144,054</w:t>
            </w: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2"/>
              </w:rPr>
              <w:t>380,092</w:t>
            </w:r>
          </w:p>
        </w:tc>
        <w:tc>
          <w:tcPr>
            <w:tcW w:w="4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96"/>
              </w:rPr>
              <w:t>153,660</w:t>
            </w:r>
          </w:p>
        </w:tc>
        <w:tc>
          <w:tcPr>
            <w:tcW w:w="6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4,078,200</w:t>
            </w: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Proposal 3</w:t>
      </w:r>
    </w:p>
    <w:p>
      <w:pPr>
        <w:spacing w:after="0" w:line="187" w:lineRule="exact"/>
        <w:rPr>
          <w:sz w:val="20"/>
          <w:szCs w:val="20"/>
          <w:color w:val="auto"/>
        </w:rPr>
      </w:pPr>
    </w:p>
    <w:p>
      <w:pPr>
        <w:ind w:right="200" w:firstLine="229"/>
        <w:spacing w:after="0" w:line="273" w:lineRule="auto"/>
        <w:rPr>
          <w:sz w:val="20"/>
          <w:szCs w:val="20"/>
          <w:color w:val="auto"/>
        </w:rPr>
      </w:pPr>
      <w:r>
        <w:rPr>
          <w:rFonts w:ascii="Times New Roman" w:cs="Times New Roman" w:eastAsia="Times New Roman" w:hAnsi="Times New Roman"/>
          <w:sz w:val="16"/>
          <w:szCs w:val="16"/>
          <w:color w:val="auto"/>
        </w:rPr>
        <w:t>The Company’s stockholders cast their votes as follows with respect to the approval of an amendment to the Company's Amended and Restated Certificate of Incorporation to permit the exculpation of officers to be included in the Second Amended and Restated Certificate of Incorporation:</w:t>
      </w:r>
    </w:p>
    <w:p>
      <w:pPr>
        <w:spacing w:after="0" w:line="169"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56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Against</w:t>
            </w:r>
          </w:p>
        </w:tc>
        <w:tc>
          <w:tcPr>
            <w:tcW w:w="156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180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6"/>
              </w:rPr>
              <w:t>Broker Non-Votes</w:t>
            </w:r>
          </w:p>
        </w:tc>
      </w:tr>
      <w:tr>
        <w:trPr>
          <w:trHeight w:val="20"/>
        </w:trPr>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8"/>
        </w:trPr>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3"/>
              </w:rPr>
              <w:t>6,724,942</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1,801,154</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w w:val="96"/>
              </w:rPr>
              <w:t>151,710</w:t>
            </w:r>
          </w:p>
        </w:tc>
        <w:tc>
          <w:tcPr>
            <w:tcW w:w="6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4,078,200</w:t>
            </w: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Proposal 4</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stockholders cast their votes with respect to the approval of the Section 382 Rights Agreement, as amended by the Seventh Amendment, as follows:</w:t>
      </w:r>
    </w:p>
    <w:p>
      <w:pPr>
        <w:spacing w:after="0" w:line="213"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600" w:type="dxa"/>
            <w:vAlign w:val="bottom"/>
          </w:tcPr>
          <w:p>
            <w:pPr>
              <w:spacing w:after="0"/>
              <w:rPr>
                <w:sz w:val="16"/>
                <w:szCs w:val="16"/>
                <w:color w:val="auto"/>
              </w:rPr>
            </w:pP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180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6"/>
              </w:rPr>
              <w:t>Broker Non-Votes</w:t>
            </w:r>
          </w:p>
        </w:tc>
      </w:tr>
      <w:tr>
        <w:trPr>
          <w:trHeight w:val="20"/>
        </w:trPr>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8"/>
        </w:trPr>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w w:val="93"/>
              </w:rPr>
              <w:t>7,664,845</w:t>
            </w: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2"/>
              </w:rPr>
              <w:t>853,077</w:t>
            </w:r>
          </w:p>
        </w:tc>
        <w:tc>
          <w:tcPr>
            <w:tcW w:w="4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96"/>
              </w:rPr>
              <w:t>159,884</w:t>
            </w:r>
          </w:p>
        </w:tc>
        <w:tc>
          <w:tcPr>
            <w:tcW w:w="6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4,078,200</w:t>
            </w: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Proposal 5</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stockholders ratified the appointment of Deloitte &amp; Touche LLP as the Company’s independent auditors for 2026 as follows:</w:t>
      </w:r>
    </w:p>
    <w:p>
      <w:pPr>
        <w:spacing w:after="0" w:line="213" w:lineRule="exact"/>
        <w:rPr>
          <w:sz w:val="20"/>
          <w:szCs w:val="20"/>
          <w:color w:val="auto"/>
        </w:rPr>
      </w:pPr>
    </w:p>
    <w:tbl>
      <w:tblPr>
        <w:tblLayout w:type="fixed"/>
        <w:tblInd w:w="302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6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Against</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180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6"/>
              </w:rPr>
              <w:t>Broker Non-Votes</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8"/>
        </w:trPr>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12,548,012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55,847</w:t>
            </w:r>
          </w:p>
        </w:tc>
        <w:tc>
          <w:tcPr>
            <w:tcW w:w="4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96"/>
              </w:rPr>
              <w:t>152,147</w:t>
            </w:r>
          </w:p>
        </w:tc>
        <w:tc>
          <w:tcPr>
            <w:tcW w:w="600" w:type="dxa"/>
            <w:vAlign w:val="bottom"/>
          </w:tcPr>
          <w:p>
            <w:pPr>
              <w:spacing w:after="0"/>
              <w:rPr>
                <w:sz w:val="19"/>
                <w:szCs w:val="19"/>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193" w:lineRule="exact"/>
        <w:rPr>
          <w:sz w:val="20"/>
          <w:szCs w:val="20"/>
          <w:color w:val="auto"/>
        </w:rPr>
      </w:pPr>
    </w:p>
    <w:p>
      <w:pPr>
        <w:ind w:right="20" w:firstLine="229"/>
        <w:spacing w:after="0" w:line="254" w:lineRule="auto"/>
        <w:rPr>
          <w:sz w:val="20"/>
          <w:szCs w:val="20"/>
          <w:color w:val="auto"/>
        </w:rPr>
      </w:pPr>
      <w:r>
        <w:rPr>
          <w:rFonts w:ascii="Times New Roman" w:cs="Times New Roman" w:eastAsia="Times New Roman" w:hAnsi="Times New Roman"/>
          <w:sz w:val="16"/>
          <w:szCs w:val="16"/>
          <w:color w:val="auto"/>
        </w:rPr>
        <w:t>On June 18, 2026, the Company issued a press release with respect to the Seventh Amendment to the Section 382 Rights Agreement. The press release, furnished as Exhibit 99.1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97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8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4.1</w:t>
            </w:r>
          </w:p>
        </w:tc>
        <w:tc>
          <w:tcPr>
            <w:tcW w:w="78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Seventh Amendment to the Section 382 Rights Agreement, dated as of June 18, 2026, by and among Centrus Energy Corp., Computershare Trust Company,</w:t>
            </w: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8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N.A., and Computershare Inc.</w:t>
            </w:r>
          </w:p>
        </w:tc>
        <w:tc>
          <w:tcPr>
            <w:tcW w:w="480" w:type="dxa"/>
            <w:vAlign w:val="bottom"/>
          </w:tcPr>
          <w:p>
            <w:pPr>
              <w:spacing w:after="0"/>
              <w:rPr>
                <w:sz w:val="11"/>
                <w:szCs w:val="11"/>
                <w:color w:val="auto"/>
              </w:rPr>
            </w:pPr>
          </w:p>
        </w:tc>
      </w:tr>
      <w:tr>
        <w:trPr>
          <w:trHeight w:val="20"/>
        </w:trPr>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r>
      <w:tr>
        <w:trPr>
          <w:trHeight w:val="171"/>
        </w:trPr>
        <w:tc>
          <w:tcPr>
            <w:tcW w:w="7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5"/>
                <w:szCs w:val="15"/>
                <w:color w:val="auto"/>
              </w:rPr>
              <w:t>99.1</w:t>
            </w:r>
          </w:p>
        </w:tc>
        <w:tc>
          <w:tcPr>
            <w:tcW w:w="780" w:type="dxa"/>
            <w:vAlign w:val="bottom"/>
          </w:tcPr>
          <w:p>
            <w:pPr>
              <w:spacing w:after="0"/>
              <w:rPr>
                <w:sz w:val="14"/>
                <w:szCs w:val="14"/>
                <w:color w:val="auto"/>
              </w:rPr>
            </w:pPr>
          </w:p>
        </w:tc>
        <w:tc>
          <w:tcPr>
            <w:tcW w:w="2040" w:type="dxa"/>
            <w:vAlign w:val="bottom"/>
            <w:tcBorders>
              <w:bottom w:val="single" w:sz="8" w:color="0000FF"/>
            </w:tcBorders>
            <w:gridSpan w:val="3"/>
          </w:tcPr>
          <w:p>
            <w:pPr>
              <w:spacing w:after="0" w:line="171" w:lineRule="exact"/>
              <w:rPr>
                <w:sz w:val="20"/>
                <w:szCs w:val="20"/>
                <w:color w:val="auto"/>
              </w:rPr>
            </w:pPr>
            <w:r>
              <w:rPr>
                <w:rFonts w:ascii="Times New Roman" w:cs="Times New Roman" w:eastAsia="Times New Roman" w:hAnsi="Times New Roman"/>
                <w:sz w:val="15"/>
                <w:szCs w:val="15"/>
                <w:color w:val="0000FF"/>
                <w:w w:val="98"/>
              </w:rPr>
              <w:t>Press Release dated June 18, 2026</w:t>
            </w:r>
          </w:p>
        </w:tc>
        <w:tc>
          <w:tcPr>
            <w:tcW w:w="7720" w:type="dxa"/>
            <w:vAlign w:val="bottom"/>
            <w:gridSpan w:val="2"/>
          </w:tcPr>
          <w:p>
            <w:pPr>
              <w:spacing w:after="0"/>
              <w:rPr>
                <w:sz w:val="14"/>
                <w:szCs w:val="14"/>
                <w:color w:val="auto"/>
              </w:rPr>
            </w:pPr>
          </w:p>
        </w:tc>
      </w:tr>
      <w:tr>
        <w:trPr>
          <w:trHeight w:val="204"/>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780" w:type="dxa"/>
            <w:vAlign w:val="bottom"/>
          </w:tcPr>
          <w:p>
            <w:pPr>
              <w:spacing w:after="0"/>
              <w:rPr>
                <w:sz w:val="17"/>
                <w:szCs w:val="17"/>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r>
      <w:tr>
        <w:trPr>
          <w:trHeight w:val="1273"/>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7"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Centrus Energy Corp.</w:t>
            </w:r>
          </w:p>
        </w:tc>
      </w:tr>
      <w:tr>
        <w:trPr>
          <w:trHeight w:val="6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June 18, 2026</w:t>
            </w:r>
          </w:p>
        </w:tc>
        <w:tc>
          <w:tcPr>
            <w:tcW w:w="15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By:</w:t>
            </w: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Todd M. Tinelli</w:t>
            </w:r>
          </w:p>
        </w:tc>
      </w:tr>
      <w:tr>
        <w:trPr>
          <w:trHeight w:val="188"/>
        </w:trPr>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Todd M. Tinelli</w:t>
            </w:r>
          </w:p>
        </w:tc>
      </w:tr>
      <w:tr>
        <w:trPr>
          <w:trHeight w:val="203"/>
        </w:trPr>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Senior Vice President, Chief Financial Officer, and Treasurer</w:t>
            </w:r>
          </w:p>
        </w:tc>
      </w:tr>
    </w:tbl>
    <w:p>
      <w:pPr>
        <w:sectPr>
          <w:pgSz w:w="11900" w:h="16838" w:orient="portrait"/>
          <w:cols w:equalWidth="0" w:num="1">
            <w:col w:w="11000"/>
          </w:cols>
          <w:pgMar w:left="300" w:top="716" w:right="599"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2026-06-18T15:51:50Z</dcterms:created>
  <dcterms:modified xsi:type="dcterms:W3CDTF">2026-06-18T15:51:50Z</dcterms:modified>
</cp:coreProperties>
</file>