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both"/>
        <w:rPr>
          <w:color w:val="000000"/>
        </w:rPr>
      </w:pPr>
      <w:r>
        <w:rPr>
          <w:color w:val="000000"/>
        </w:rPr>
        <w:t> </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quarterly period ended March 31, 2024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1-14287</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Centrus Energy Corp.</w:t>
      </w:r>
    </w:p>
    <w:tbl>
      <w:tblPr>
        <w:tblW w:w="4470" w:type="dxa"/>
        <w:jc w:val="left"/>
        <w:tblInd w:w="0" w:type="dxa"/>
        <w:tblLayout w:type="fixed"/>
        <w:tblCellMar>
          <w:top w:w="28" w:type="dxa"/>
          <w:left w:w="28" w:type="dxa"/>
          <w:bottom w:w="28" w:type="dxa"/>
          <w:right w:w="28" w:type="dxa"/>
        </w:tblCellMar>
      </w:tblPr>
      <w:tblGrid>
        <w:gridCol w:w="651"/>
        <w:gridCol w:w="572"/>
        <w:gridCol w:w="577"/>
        <w:gridCol w:w="780"/>
        <w:gridCol w:w="780"/>
        <w:gridCol w:w="1110"/>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52-2107911</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of incorporation)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6901 Rockledge Drive, Suite 800, Bethesda, Maryland 20817</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(301) 564-3200</w:t>
      </w:r>
    </w:p>
    <w:p>
      <w:pPr>
        <w:pStyle w:val="TextBody"/>
        <w:bidi w:val="0"/>
        <w:spacing w:lineRule="auto" w:line="417"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NYSE American</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11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09"/>
        <w:gridCol w:w="109"/>
        <w:gridCol w:w="109"/>
        <w:gridCol w:w="109"/>
        <w:gridCol w:w="599"/>
        <w:gridCol w:w="599"/>
        <w:gridCol w:w="601"/>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Yes ☐     No ☒</w:t>
      </w:r>
    </w:p>
    <w:p>
      <w:pPr>
        <w:pStyle w:val="TextBody"/>
        <w:bidi w:val="0"/>
        <w:spacing w:lineRule="auto" w:line="288" w:before="0" w:after="0"/>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As of May 1, 2024, there were 15,277,780 shares of the registrant’s Class A Common Stock, par value $0.10 per share, and 719,200 shares of the registrant’s Class B Common Stock, par value $0.10 per share, outstanding.</w:t>
      </w:r>
    </w:p>
    <w:p>
      <w:pPr>
        <w:pStyle w:val="TextBody"/>
        <w:bidi w:val="0"/>
        <w:spacing w:before="60" w:after="283"/>
        <w:ind w:left="0" w:right="0" w:firstLine="270"/>
        <w:jc w:val="left"/>
        <w:rPr/>
      </w:pPr>
      <w:r>
        <w:rPr/>
      </w:r>
    </w:p>
    <w:p>
      <w:pPr>
        <w:pStyle w:val="TextBody"/>
        <w:bidi w:val="0"/>
        <w:spacing w:before="60" w:after="283"/>
        <w:ind w:left="0" w:right="0" w:firstLine="27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299"/>
        <w:gridCol w:w="263"/>
        <w:gridCol w:w="264"/>
        <w:gridCol w:w="2914"/>
        <w:gridCol w:w="2914"/>
        <w:gridCol w:w="2918"/>
        <w:gridCol w:w="184"/>
        <w:gridCol w:w="184"/>
        <w:gridCol w:w="265"/>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 – FINANCIAL INFORMATION</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6">
              <w:r>
                <w:rPr>
                  <w:rStyle w:val="InternetLink"/>
                  <w:rFonts w:ascii="Times New Roman;sans-serif" w:hAnsi="Times New Roman;sans-serif"/>
                  <w:b w:val="false"/>
                  <w:color w:val="0000FF"/>
                  <w:sz w:val="22"/>
                  <w:u w:val="single"/>
                </w:rPr>
                <w:t>Item 1.</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6">
              <w:r>
                <w:rPr>
                  <w:rStyle w:val="InternetLink"/>
                  <w:rFonts w:ascii="Times New Roman;sans-serif" w:hAnsi="Times New Roman;sans-serif"/>
                  <w:b w:val="false"/>
                  <w:color w:val="0000FF"/>
                  <w:sz w:val="22"/>
                  <w:u w:val="single"/>
                </w:rPr>
                <w:t>Financial Statements (Unaudited):</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c61eabec19145c5a3e17e1ac0908b46_19">
              <w:r>
                <w:rPr>
                  <w:rStyle w:val="InternetLink"/>
                  <w:rFonts w:ascii="Times New Roman;sans-serif" w:hAnsi="Times New Roman;sans-serif"/>
                  <w:b w:val="false"/>
                  <w:color w:val="000080"/>
                  <w:sz w:val="22"/>
                  <w:u w:val="single"/>
                </w:rPr>
                <w:t xml:space="preserve">Consolidated Balance Sheets at </w:t>
              </w:r>
            </w:hyperlink>
            <w:hyperlink w:anchor="ifc61eabec19145c5a3e17e1ac0908b46_19">
              <w:r>
                <w:rPr>
                  <w:rStyle w:val="InternetLink"/>
                  <w:rFonts w:ascii="Times New Roman;sans-serif" w:hAnsi="Times New Roman;sans-serif"/>
                  <w:b w:val="false"/>
                  <w:color w:val="000080"/>
                  <w:sz w:val="22"/>
                  <w:u w:val="single"/>
                </w:rPr>
                <w:t>March</w:t>
              </w:r>
            </w:hyperlink>
            <w:hyperlink w:anchor="ifc61eabec19145c5a3e17e1ac0908b46_19">
              <w:r>
                <w:rPr>
                  <w:rStyle w:val="InternetLink"/>
                  <w:rFonts w:ascii="Times New Roman;sans-serif" w:hAnsi="Times New Roman;sans-serif"/>
                  <w:b w:val="false"/>
                  <w:color w:val="000080"/>
                  <w:sz w:val="22"/>
                  <w:u w:val="single"/>
                </w:rPr>
                <w:t xml:space="preserve"> 3</w:t>
              </w:r>
            </w:hyperlink>
            <w:hyperlink w:anchor="ifc61eabec19145c5a3e17e1ac0908b46_19">
              <w:r>
                <w:rPr>
                  <w:rStyle w:val="InternetLink"/>
                  <w:rFonts w:ascii="Times New Roman;sans-serif" w:hAnsi="Times New Roman;sans-serif"/>
                  <w:b w:val="false"/>
                  <w:color w:val="000080"/>
                  <w:sz w:val="22"/>
                  <w:u w:val="single"/>
                </w:rPr>
                <w:t>1</w:t>
              </w:r>
            </w:hyperlink>
            <w:hyperlink w:anchor="ifc61eabec19145c5a3e17e1ac0908b46_19">
              <w:r>
                <w:rPr>
                  <w:rStyle w:val="InternetLink"/>
                  <w:rFonts w:ascii="Times New Roman;sans-serif" w:hAnsi="Times New Roman;sans-serif"/>
                  <w:b w:val="false"/>
                  <w:color w:val="000080"/>
                  <w:sz w:val="22"/>
                  <w:u w:val="single"/>
                </w:rPr>
                <w:t>, 202</w:t>
              </w:r>
            </w:hyperlink>
            <w:hyperlink w:anchor="ifc61eabec19145c5a3e17e1ac0908b46_19">
              <w:r>
                <w:rPr>
                  <w:rStyle w:val="InternetLink"/>
                  <w:rFonts w:ascii="Times New Roman;sans-serif" w:hAnsi="Times New Roman;sans-serif"/>
                  <w:b w:val="false"/>
                  <w:color w:val="000080"/>
                  <w:sz w:val="22"/>
                  <w:u w:val="single"/>
                </w:rPr>
                <w:t>4</w:t>
              </w:r>
            </w:hyperlink>
            <w:hyperlink w:anchor="ifc61eabec19145c5a3e17e1ac0908b46_19">
              <w:r>
                <w:rPr>
                  <w:rStyle w:val="InternetLink"/>
                  <w:rFonts w:ascii="Times New Roman;sans-serif" w:hAnsi="Times New Roman;sans-serif"/>
                  <w:b w:val="false"/>
                  <w:color w:val="000080"/>
                  <w:sz w:val="22"/>
                  <w:u w:val="single"/>
                </w:rPr>
                <w:t xml:space="preserve"> and December 31, 202</w:t>
              </w:r>
            </w:hyperlink>
            <w:hyperlink w:anchor="ifc61eabec19145c5a3e17e1ac0908b46_19">
              <w:r>
                <w:rPr>
                  <w:rStyle w:val="InternetLink"/>
                  <w:rFonts w:ascii="Times New Roman;sans-serif" w:hAnsi="Times New Roman;sans-serif"/>
                  <w:b w:val="false"/>
                  <w:color w:val="000080"/>
                  <w:sz w:val="22"/>
                  <w:u w:val="single"/>
                </w:rPr>
                <w:t>3</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9">
              <w:r>
                <w:rPr>
                  <w:rStyle w:val="InternetLink"/>
                  <w:rFonts w:ascii="Times New Roman;sans-serif" w:hAnsi="Times New Roman;sans-serif"/>
                  <w:b w:val="false"/>
                  <w:color w:val="0000FF"/>
                  <w:sz w:val="22"/>
                  <w:u w:val="single"/>
                </w:rPr>
                <w:t>9</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4C16AE"/>
              </w:rPr>
            </w:pPr>
            <w:r>
              <w:rPr>
                <w:color w:val="4C16AE"/>
              </w:rPr>
              <w:t> </w:t>
            </w:r>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c61eabec19145c5a3e17e1ac0908b46_25">
              <w:r>
                <w:rPr>
                  <w:rStyle w:val="InternetLink"/>
                  <w:rFonts w:ascii="Times New Roman;sans-serif" w:hAnsi="Times New Roman;sans-serif"/>
                  <w:b w:val="false"/>
                  <w:color w:val="000080"/>
                  <w:sz w:val="22"/>
                  <w:u w:val="single"/>
                </w:rPr>
                <w:t xml:space="preserve">Consolidated Statements of Operations and Comprehensive Income for the Three </w:t>
              </w:r>
            </w:hyperlink>
            <w:hyperlink w:anchor="ifc61eabec19145c5a3e17e1ac0908b46_25">
              <w:r>
                <w:rPr>
                  <w:rStyle w:val="InternetLink"/>
                  <w:rFonts w:ascii="Times New Roman;sans-serif" w:hAnsi="Times New Roman;sans-serif"/>
                  <w:b w:val="false"/>
                  <w:color w:val="000080"/>
                  <w:sz w:val="22"/>
                  <w:u w:val="single"/>
                </w:rPr>
                <w:t>Months Ended</w:t>
              </w:r>
            </w:hyperlink>
            <w:hyperlink w:anchor="ifc61eabec19145c5a3e17e1ac0908b46_25">
              <w:r>
                <w:rPr>
                  <w:rStyle w:val="InternetLink"/>
                  <w:rFonts w:ascii="Times New Roman;sans-serif" w:hAnsi="Times New Roman;sans-serif"/>
                  <w:b w:val="false"/>
                  <w:color w:val="000080"/>
                  <w:sz w:val="22"/>
                  <w:u w:val="single"/>
                </w:rPr>
                <w:t xml:space="preserve"> </w:t>
              </w:r>
            </w:hyperlink>
            <w:hyperlink w:anchor="ifc61eabec19145c5a3e17e1ac0908b46_25">
              <w:r>
                <w:rPr>
                  <w:rStyle w:val="InternetLink"/>
                  <w:rFonts w:ascii="Times New Roman;sans-serif" w:hAnsi="Times New Roman;sans-serif"/>
                  <w:b w:val="false"/>
                  <w:color w:val="000080"/>
                  <w:sz w:val="22"/>
                  <w:u w:val="single"/>
                </w:rPr>
                <w:t>March</w:t>
              </w:r>
            </w:hyperlink>
            <w:hyperlink w:anchor="ifc61eabec19145c5a3e17e1ac0908b46_25">
              <w:r>
                <w:rPr>
                  <w:rStyle w:val="InternetLink"/>
                  <w:rFonts w:ascii="Times New Roman;sans-serif" w:hAnsi="Times New Roman;sans-serif"/>
                  <w:b w:val="false"/>
                  <w:color w:val="000080"/>
                  <w:sz w:val="22"/>
                  <w:u w:val="single"/>
                </w:rPr>
                <w:t xml:space="preserve"> 3</w:t>
              </w:r>
            </w:hyperlink>
            <w:hyperlink w:anchor="ifc61eabec19145c5a3e17e1ac0908b46_25">
              <w:r>
                <w:rPr>
                  <w:rStyle w:val="InternetLink"/>
                  <w:rFonts w:ascii="Times New Roman;sans-serif" w:hAnsi="Times New Roman;sans-serif"/>
                  <w:b w:val="false"/>
                  <w:color w:val="000080"/>
                  <w:sz w:val="22"/>
                  <w:u w:val="single"/>
                </w:rPr>
                <w:t>1</w:t>
              </w:r>
            </w:hyperlink>
            <w:hyperlink w:anchor="ifc61eabec19145c5a3e17e1ac0908b46_25">
              <w:r>
                <w:rPr>
                  <w:rStyle w:val="InternetLink"/>
                  <w:rFonts w:ascii="Times New Roman;sans-serif" w:hAnsi="Times New Roman;sans-serif"/>
                  <w:b w:val="false"/>
                  <w:color w:val="000080"/>
                  <w:sz w:val="22"/>
                  <w:u w:val="single"/>
                </w:rPr>
                <w:t>, 202</w:t>
              </w:r>
            </w:hyperlink>
            <w:hyperlink w:anchor="ifc61eabec19145c5a3e17e1ac0908b46_25">
              <w:r>
                <w:rPr>
                  <w:rStyle w:val="InternetLink"/>
                  <w:rFonts w:ascii="Times New Roman;sans-serif" w:hAnsi="Times New Roman;sans-serif"/>
                  <w:b w:val="false"/>
                  <w:color w:val="000080"/>
                  <w:sz w:val="22"/>
                  <w:u w:val="single"/>
                </w:rPr>
                <w:t>4</w:t>
              </w:r>
            </w:hyperlink>
            <w:hyperlink w:anchor="ifc61eabec19145c5a3e17e1ac0908b46_25">
              <w:r>
                <w:rPr>
                  <w:rStyle w:val="InternetLink"/>
                  <w:rFonts w:ascii="Times New Roman;sans-serif" w:hAnsi="Times New Roman;sans-serif"/>
                  <w:b w:val="false"/>
                  <w:color w:val="000080"/>
                  <w:sz w:val="22"/>
                  <w:u w:val="single"/>
                </w:rPr>
                <w:t xml:space="preserve"> and 202</w:t>
              </w:r>
            </w:hyperlink>
            <w:hyperlink w:anchor="ifc61eabec19145c5a3e17e1ac0908b46_25">
              <w:r>
                <w:rPr>
                  <w:rStyle w:val="InternetLink"/>
                  <w:rFonts w:ascii="Times New Roman;sans-serif" w:hAnsi="Times New Roman;sans-serif"/>
                  <w:b w:val="false"/>
                  <w:color w:val="000080"/>
                  <w:sz w:val="22"/>
                  <w:u w:val="single"/>
                </w:rPr>
                <w:t>3</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25">
              <w:r>
                <w:rPr>
                  <w:rStyle w:val="InternetLink"/>
                  <w:rFonts w:ascii="Times New Roman;sans-serif" w:hAnsi="Times New Roman;sans-serif"/>
                  <w:b w:val="false"/>
                  <w:color w:val="0000FF"/>
                  <w:sz w:val="22"/>
                  <w:u w:val="single"/>
                </w:rPr>
                <w:t>10</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c61eabec19145c5a3e17e1ac0908b46_28">
              <w:r>
                <w:rPr>
                  <w:rStyle w:val="InternetLink"/>
                  <w:rFonts w:ascii="Times New Roman;sans-serif" w:hAnsi="Times New Roman;sans-serif"/>
                  <w:b w:val="false"/>
                  <w:color w:val="000080"/>
                  <w:sz w:val="22"/>
                  <w:u w:val="single"/>
                </w:rPr>
                <w:t>Consolidated Statements of Cash Flows for the</w:t>
              </w:r>
            </w:hyperlink>
            <w:hyperlink w:anchor="ifc61eabec19145c5a3e17e1ac0908b46_28">
              <w:r>
                <w:rPr>
                  <w:rStyle w:val="InternetLink"/>
                  <w:rFonts w:ascii="Times New Roman;sans-serif" w:hAnsi="Times New Roman;sans-serif"/>
                  <w:b w:val="false"/>
                  <w:color w:val="000080"/>
                  <w:sz w:val="22"/>
                  <w:u w:val="single"/>
                </w:rPr>
                <w:t xml:space="preserve"> Three </w:t>
              </w:r>
            </w:hyperlink>
            <w:hyperlink w:anchor="ifc61eabec19145c5a3e17e1ac0908b46_28">
              <w:r>
                <w:rPr>
                  <w:rStyle w:val="InternetLink"/>
                  <w:rFonts w:ascii="Times New Roman;sans-serif" w:hAnsi="Times New Roman;sans-serif"/>
                  <w:b w:val="false"/>
                  <w:color w:val="000080"/>
                  <w:sz w:val="22"/>
                  <w:u w:val="single"/>
                </w:rPr>
                <w:t xml:space="preserve">Months Ended </w:t>
              </w:r>
            </w:hyperlink>
            <w:hyperlink w:anchor="ifc61eabec19145c5a3e17e1ac0908b46_28">
              <w:r>
                <w:rPr>
                  <w:rStyle w:val="InternetLink"/>
                  <w:rFonts w:ascii="Times New Roman;sans-serif" w:hAnsi="Times New Roman;sans-serif"/>
                  <w:b w:val="false"/>
                  <w:color w:val="000080"/>
                  <w:sz w:val="22"/>
                  <w:u w:val="single"/>
                </w:rPr>
                <w:t>March 31</w:t>
              </w:r>
            </w:hyperlink>
            <w:hyperlink w:anchor="ifc61eabec19145c5a3e17e1ac0908b46_28">
              <w:r>
                <w:rPr>
                  <w:rStyle w:val="InternetLink"/>
                  <w:rFonts w:ascii="Times New Roman;sans-serif" w:hAnsi="Times New Roman;sans-serif"/>
                  <w:b w:val="false"/>
                  <w:color w:val="000080"/>
                  <w:sz w:val="22"/>
                  <w:u w:val="single"/>
                </w:rPr>
                <w:t>, 202</w:t>
              </w:r>
            </w:hyperlink>
            <w:hyperlink w:anchor="ifc61eabec19145c5a3e17e1ac0908b46_28">
              <w:r>
                <w:rPr>
                  <w:rStyle w:val="InternetLink"/>
                  <w:rFonts w:ascii="Times New Roman;sans-serif" w:hAnsi="Times New Roman;sans-serif"/>
                  <w:b w:val="false"/>
                  <w:color w:val="000080"/>
                  <w:sz w:val="22"/>
                  <w:u w:val="single"/>
                </w:rPr>
                <w:t>4</w:t>
              </w:r>
            </w:hyperlink>
            <w:hyperlink w:anchor="ifc61eabec19145c5a3e17e1ac0908b46_28">
              <w:r>
                <w:rPr>
                  <w:rStyle w:val="InternetLink"/>
                  <w:rFonts w:ascii="Times New Roman;sans-serif" w:hAnsi="Times New Roman;sans-serif"/>
                  <w:b w:val="false"/>
                  <w:color w:val="000080"/>
                  <w:sz w:val="22"/>
                  <w:u w:val="single"/>
                </w:rPr>
                <w:t xml:space="preserve"> and 202</w:t>
              </w:r>
            </w:hyperlink>
            <w:hyperlink w:anchor="ifc61eabec19145c5a3e17e1ac0908b46_28">
              <w:r>
                <w:rPr>
                  <w:rStyle w:val="InternetLink"/>
                  <w:rFonts w:ascii="Times New Roman;sans-serif" w:hAnsi="Times New Roman;sans-serif"/>
                  <w:b w:val="false"/>
                  <w:color w:val="000080"/>
                  <w:sz w:val="22"/>
                  <w:u w:val="single"/>
                </w:rPr>
                <w:t>3</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28">
              <w:r>
                <w:rPr>
                  <w:rStyle w:val="InternetLink"/>
                  <w:rFonts w:ascii="Times New Roman;sans-serif" w:hAnsi="Times New Roman;sans-serif"/>
                  <w:b w:val="false"/>
                  <w:color w:val="0000FF"/>
                  <w:sz w:val="22"/>
                  <w:u w:val="single"/>
                </w:rPr>
                <w:t>11</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c61eabec19145c5a3e17e1ac0908b46_31">
              <w:r>
                <w:rPr>
                  <w:rStyle w:val="InternetLink"/>
                  <w:rFonts w:ascii="Times New Roman;sans-serif" w:hAnsi="Times New Roman;sans-serif"/>
                  <w:b w:val="false"/>
                  <w:color w:val="000080"/>
                  <w:sz w:val="22"/>
                  <w:u w:val="single"/>
                </w:rPr>
                <w:t xml:space="preserve">Consolidated Statements of Stockholders’ </w:t>
              </w:r>
            </w:hyperlink>
            <w:hyperlink w:anchor="ifc61eabec19145c5a3e17e1ac0908b46_31">
              <w:r>
                <w:rPr>
                  <w:rStyle w:val="InternetLink"/>
                  <w:rFonts w:ascii="Times New Roman;sans-serif" w:hAnsi="Times New Roman;sans-serif"/>
                  <w:b w:val="false"/>
                  <w:color w:val="000080"/>
                  <w:sz w:val="22"/>
                  <w:u w:val="single"/>
                </w:rPr>
                <w:t>Equity (</w:t>
              </w:r>
            </w:hyperlink>
            <w:hyperlink w:anchor="ifc61eabec19145c5a3e17e1ac0908b46_31">
              <w:r>
                <w:rPr>
                  <w:rStyle w:val="InternetLink"/>
                  <w:rFonts w:ascii="Times New Roman;sans-serif" w:hAnsi="Times New Roman;sans-serif"/>
                  <w:b w:val="false"/>
                  <w:color w:val="000080"/>
                  <w:sz w:val="22"/>
                  <w:u w:val="single"/>
                </w:rPr>
                <w:t>Deficit</w:t>
              </w:r>
            </w:hyperlink>
            <w:hyperlink w:anchor="ifc61eabec19145c5a3e17e1ac0908b46_31">
              <w:r>
                <w:rPr>
                  <w:rStyle w:val="InternetLink"/>
                  <w:rFonts w:ascii="Times New Roman;sans-serif" w:hAnsi="Times New Roman;sans-serif"/>
                  <w:b w:val="false"/>
                  <w:color w:val="000080"/>
                  <w:sz w:val="22"/>
                  <w:u w:val="single"/>
                </w:rPr>
                <w:t>)</w:t>
              </w:r>
            </w:hyperlink>
            <w:hyperlink w:anchor="ifc61eabec19145c5a3e17e1ac0908b46_31">
              <w:r>
                <w:rPr>
                  <w:rStyle w:val="InternetLink"/>
                  <w:rFonts w:ascii="Times New Roman;sans-serif" w:hAnsi="Times New Roman;sans-serif"/>
                  <w:b w:val="false"/>
                  <w:color w:val="000080"/>
                  <w:sz w:val="22"/>
                  <w:u w:val="single"/>
                </w:rPr>
                <w:t xml:space="preserve"> for the Three </w:t>
              </w:r>
            </w:hyperlink>
            <w:hyperlink w:anchor="ifc61eabec19145c5a3e17e1ac0908b46_31">
              <w:r>
                <w:rPr>
                  <w:rStyle w:val="InternetLink"/>
                  <w:rFonts w:ascii="Times New Roman;sans-serif" w:hAnsi="Times New Roman;sans-serif"/>
                  <w:b w:val="false"/>
                  <w:color w:val="000080"/>
                  <w:sz w:val="22"/>
                  <w:u w:val="single"/>
                </w:rPr>
                <w:t xml:space="preserve">Months Ended </w:t>
              </w:r>
            </w:hyperlink>
            <w:hyperlink w:anchor="ifc61eabec19145c5a3e17e1ac0908b46_31">
              <w:r>
                <w:rPr>
                  <w:rStyle w:val="InternetLink"/>
                  <w:rFonts w:ascii="Times New Roman;sans-serif" w:hAnsi="Times New Roman;sans-serif"/>
                  <w:b w:val="false"/>
                  <w:color w:val="000080"/>
                  <w:sz w:val="22"/>
                  <w:u w:val="single"/>
                </w:rPr>
                <w:t>March</w:t>
              </w:r>
            </w:hyperlink>
            <w:hyperlink w:anchor="ifc61eabec19145c5a3e17e1ac0908b46_31">
              <w:r>
                <w:rPr>
                  <w:rStyle w:val="InternetLink"/>
                  <w:rFonts w:ascii="Times New Roman;sans-serif" w:hAnsi="Times New Roman;sans-serif"/>
                  <w:b w:val="false"/>
                  <w:color w:val="000080"/>
                  <w:sz w:val="22"/>
                  <w:u w:val="single"/>
                </w:rPr>
                <w:t xml:space="preserve"> 3</w:t>
              </w:r>
            </w:hyperlink>
            <w:hyperlink w:anchor="ifc61eabec19145c5a3e17e1ac0908b46_31">
              <w:r>
                <w:rPr>
                  <w:rStyle w:val="InternetLink"/>
                  <w:rFonts w:ascii="Times New Roman;sans-serif" w:hAnsi="Times New Roman;sans-serif"/>
                  <w:b w:val="false"/>
                  <w:color w:val="000080"/>
                  <w:sz w:val="22"/>
                  <w:u w:val="single"/>
                </w:rPr>
                <w:t>1</w:t>
              </w:r>
            </w:hyperlink>
            <w:hyperlink w:anchor="ifc61eabec19145c5a3e17e1ac0908b46_31">
              <w:r>
                <w:rPr>
                  <w:rStyle w:val="InternetLink"/>
                  <w:rFonts w:ascii="Times New Roman;sans-serif" w:hAnsi="Times New Roman;sans-serif"/>
                  <w:b w:val="false"/>
                  <w:color w:val="000080"/>
                  <w:sz w:val="22"/>
                  <w:u w:val="single"/>
                </w:rPr>
                <w:t>, 202</w:t>
              </w:r>
            </w:hyperlink>
            <w:hyperlink w:anchor="ifc61eabec19145c5a3e17e1ac0908b46_31">
              <w:r>
                <w:rPr>
                  <w:rStyle w:val="InternetLink"/>
                  <w:rFonts w:ascii="Times New Roman;sans-serif" w:hAnsi="Times New Roman;sans-serif"/>
                  <w:b w:val="false"/>
                  <w:color w:val="000080"/>
                  <w:sz w:val="22"/>
                  <w:u w:val="single"/>
                </w:rPr>
                <w:t>4</w:t>
              </w:r>
            </w:hyperlink>
            <w:hyperlink w:anchor="ifc61eabec19145c5a3e17e1ac0908b46_31">
              <w:r>
                <w:rPr>
                  <w:rStyle w:val="InternetLink"/>
                  <w:rFonts w:ascii="Times New Roman;sans-serif" w:hAnsi="Times New Roman;sans-serif"/>
                  <w:b w:val="false"/>
                  <w:color w:val="000080"/>
                  <w:sz w:val="22"/>
                  <w:u w:val="single"/>
                </w:rPr>
                <w:t xml:space="preserve"> and 202</w:t>
              </w:r>
            </w:hyperlink>
            <w:hyperlink w:anchor="ifc61eabec19145c5a3e17e1ac0908b46_31">
              <w:r>
                <w:rPr>
                  <w:rStyle w:val="InternetLink"/>
                  <w:rFonts w:ascii="Times New Roman;sans-serif" w:hAnsi="Times New Roman;sans-serif"/>
                  <w:b w:val="false"/>
                  <w:color w:val="000080"/>
                  <w:sz w:val="22"/>
                  <w:u w:val="single"/>
                </w:rPr>
                <w:t>3</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31">
              <w:r>
                <w:rPr>
                  <w:rStyle w:val="InternetLink"/>
                  <w:rFonts w:ascii="Times New Roman;sans-serif" w:hAnsi="Times New Roman;sans-serif"/>
                  <w:b w:val="false"/>
                  <w:color w:val="0000FF"/>
                  <w:sz w:val="22"/>
                  <w:u w:val="single"/>
                </w:rPr>
                <w:t>12</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34">
              <w:r>
                <w:rPr>
                  <w:rStyle w:val="InternetLink"/>
                  <w:rFonts w:ascii="Times New Roman;sans-serif" w:hAnsi="Times New Roman;sans-serif"/>
                  <w:b w:val="false"/>
                  <w:color w:val="0000FF"/>
                  <w:sz w:val="22"/>
                  <w:u w:val="single"/>
                </w:rPr>
                <w:t>Notes to Consolidated Financial Statements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34">
              <w:r>
                <w:rPr>
                  <w:rStyle w:val="InternetLink"/>
                  <w:rFonts w:ascii="Times New Roman;sans-serif" w:hAnsi="Times New Roman;sans-serif"/>
                  <w:b w:val="false"/>
                  <w:color w:val="0000FF"/>
                  <w:sz w:val="22"/>
                  <w:u w:val="single"/>
                </w:rPr>
                <w:t>13</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18">
              <w:r>
                <w:rPr>
                  <w:rStyle w:val="InternetLink"/>
                  <w:rFonts w:ascii="Times New Roman;sans-serif" w:hAnsi="Times New Roman;sans-serif"/>
                  <w:b w:val="false"/>
                  <w:color w:val="0000FF"/>
                  <w:sz w:val="22"/>
                  <w:u w:val="single"/>
                </w:rPr>
                <w:t>Item 2.</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18">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18">
              <w:r>
                <w:rPr>
                  <w:rStyle w:val="InternetLink"/>
                  <w:rFonts w:ascii="Times New Roman;sans-serif" w:hAnsi="Times New Roman;sans-serif"/>
                  <w:b w:val="false"/>
                  <w:color w:val="0000FF"/>
                  <w:sz w:val="22"/>
                  <w:u w:val="single"/>
                </w:rPr>
                <w:t>28</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33">
              <w:r>
                <w:rPr>
                  <w:rStyle w:val="InternetLink"/>
                  <w:rFonts w:ascii="Times New Roman;sans-serif" w:hAnsi="Times New Roman;sans-serif"/>
                  <w:b w:val="false"/>
                  <w:color w:val="0000FF"/>
                  <w:sz w:val="22"/>
                  <w:u w:val="single"/>
                </w:rPr>
                <w:t>Item 3.</w:t>
              </w:r>
            </w:hyperlink>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33">
              <w:r>
                <w:rPr>
                  <w:rStyle w:val="InternetLink"/>
                  <w:rFonts w:ascii="Times New Roman;sans-serif" w:hAnsi="Times New Roman;sans-serif"/>
                  <w:b w:val="false"/>
                  <w:color w:val="0000FF"/>
                  <w:sz w:val="22"/>
                  <w:u w:val="single"/>
                </w:rPr>
                <w:t>Quantitative and Qualitative Disclosures About Market Risk</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33">
              <w:r>
                <w:rPr>
                  <w:rStyle w:val="InternetLink"/>
                  <w:rFonts w:ascii="Times New Roman;sans-serif" w:hAnsi="Times New Roman;sans-serif"/>
                  <w:b w:val="false"/>
                  <w:color w:val="0000FF"/>
                  <w:sz w:val="22"/>
                  <w:u w:val="single"/>
                </w:rPr>
                <w:t>46</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36">
              <w:r>
                <w:rPr>
                  <w:rStyle w:val="InternetLink"/>
                  <w:rFonts w:ascii="Times New Roman;sans-serif" w:hAnsi="Times New Roman;sans-serif"/>
                  <w:b w:val="false"/>
                  <w:color w:val="0000FF"/>
                  <w:sz w:val="22"/>
                  <w:u w:val="single"/>
                </w:rPr>
                <w:t>Item 4.</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36">
              <w:r>
                <w:rPr>
                  <w:rStyle w:val="InternetLink"/>
                  <w:rFonts w:ascii="Times New Roman;sans-serif" w:hAnsi="Times New Roman;sans-serif"/>
                  <w:b w:val="false"/>
                  <w:color w:val="0000FF"/>
                  <w:sz w:val="22"/>
                  <w:u w:val="single"/>
                </w:rPr>
                <w:t>Controls and Procedures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36">
              <w:r>
                <w:rPr>
                  <w:rStyle w:val="InternetLink"/>
                  <w:rFonts w:ascii="Times New Roman;sans-serif" w:hAnsi="Times New Roman;sans-serif"/>
                  <w:b w:val="false"/>
                  <w:color w:val="0000FF"/>
                  <w:sz w:val="22"/>
                  <w:u w:val="single"/>
                </w:rPr>
                <w:t>46</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42">
              <w:r>
                <w:rPr>
                  <w:rStyle w:val="InternetLink"/>
                  <w:rFonts w:ascii="Times New Roman;sans-serif" w:hAnsi="Times New Roman;sans-serif"/>
                  <w:b w:val="false"/>
                  <w:color w:val="0000FF"/>
                  <w:sz w:val="22"/>
                  <w:u w:val="single"/>
                </w:rPr>
                <w:t>Item 1.</w:t>
              </w:r>
            </w:hyperlink>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42">
              <w:r>
                <w:rPr>
                  <w:rStyle w:val="InternetLink"/>
                  <w:rFonts w:ascii="Times New Roman;sans-serif" w:hAnsi="Times New Roman;sans-serif"/>
                  <w:b w:val="false"/>
                  <w:color w:val="0000FF"/>
                  <w:sz w:val="22"/>
                  <w:u w:val="single"/>
                </w:rPr>
                <w:t>Legal Proceedings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42">
              <w:r>
                <w:rPr>
                  <w:rStyle w:val="InternetLink"/>
                  <w:rFonts w:ascii="Times New Roman;sans-serif" w:hAnsi="Times New Roman;sans-serif"/>
                  <w:b w:val="false"/>
                  <w:color w:val="0000FF"/>
                  <w:sz w:val="22"/>
                  <w:u w:val="single"/>
                </w:rPr>
                <w:t>47</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45">
              <w:r>
                <w:rPr>
                  <w:rStyle w:val="InternetLink"/>
                  <w:rFonts w:ascii="Times New Roman;sans-serif" w:hAnsi="Times New Roman;sans-serif"/>
                  <w:b w:val="false"/>
                  <w:color w:val="0000FF"/>
                  <w:sz w:val="22"/>
                  <w:u w:val="single"/>
                </w:rPr>
                <w:t>Item 1A.</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45">
              <w:r>
                <w:rPr>
                  <w:rStyle w:val="InternetLink"/>
                  <w:rFonts w:ascii="Times New Roman;sans-serif" w:hAnsi="Times New Roman;sans-serif"/>
                  <w:b w:val="false"/>
                  <w:color w:val="0000FF"/>
                  <w:sz w:val="22"/>
                  <w:u w:val="single"/>
                </w:rPr>
                <w:t>Risk Factors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45">
              <w:r>
                <w:rPr>
                  <w:rStyle w:val="InternetLink"/>
                  <w:rFonts w:ascii="Times New Roman;sans-serif" w:hAnsi="Times New Roman;sans-serif"/>
                  <w:b w:val="false"/>
                  <w:color w:val="0000FF"/>
                  <w:sz w:val="22"/>
                  <w:u w:val="single"/>
                </w:rPr>
                <w:t>47</w:t>
              </w:r>
            </w:hyperlink>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48">
              <w:r>
                <w:rPr>
                  <w:rStyle w:val="InternetLink"/>
                  <w:rFonts w:ascii="Times New Roman;sans-serif" w:hAnsi="Times New Roman;sans-serif"/>
                  <w:b w:val="false"/>
                  <w:color w:val="0000FF"/>
                  <w:sz w:val="22"/>
                  <w:u w:val="single"/>
                </w:rPr>
                <w:t>Item 5.</w:t>
              </w:r>
            </w:hyperlink>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48">
              <w:r>
                <w:rPr>
                  <w:rStyle w:val="InternetLink"/>
                  <w:rFonts w:ascii="Times New Roman;sans-serif" w:hAnsi="Times New Roman;sans-serif"/>
                  <w:b w:val="false"/>
                  <w:color w:val="0000FF"/>
                  <w:sz w:val="22"/>
                  <w:u w:val="single"/>
                </w:rPr>
                <w:t>Other Information</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48">
              <w:r>
                <w:rPr>
                  <w:rStyle w:val="InternetLink"/>
                  <w:rFonts w:ascii="Times New Roman;sans-serif" w:hAnsi="Times New Roman;sans-serif"/>
                  <w:b w:val="false"/>
                  <w:color w:val="0000FF"/>
                  <w:sz w:val="22"/>
                  <w:u w:val="single"/>
                </w:rPr>
                <w:t>47</w:t>
              </w:r>
            </w:hyperlink>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51">
              <w:r>
                <w:rPr>
                  <w:rStyle w:val="InternetLink"/>
                  <w:rFonts w:ascii="Times New Roman;sans-serif" w:hAnsi="Times New Roman;sans-serif"/>
                  <w:b w:val="false"/>
                  <w:color w:val="0000FF"/>
                  <w:sz w:val="22"/>
                  <w:u w:val="single"/>
                </w:rPr>
                <w:t>Item 6.</w:t>
              </w:r>
            </w:hyperlink>
          </w:p>
        </w:tc>
        <w:tc>
          <w:tcPr>
            <w:tcW w:w="8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51">
              <w:r>
                <w:rPr>
                  <w:rStyle w:val="InternetLink"/>
                  <w:rFonts w:ascii="Times New Roman;sans-serif" w:hAnsi="Times New Roman;sans-serif"/>
                  <w:b w:val="false"/>
                  <w:color w:val="0000FF"/>
                  <w:sz w:val="22"/>
                  <w:u w:val="single"/>
                </w:rPr>
                <w:t>Exhibits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51">
              <w:r>
                <w:rPr>
                  <w:rStyle w:val="InternetLink"/>
                  <w:rFonts w:ascii="Times New Roman;sans-serif" w:hAnsi="Times New Roman;sans-serif"/>
                  <w:b w:val="false"/>
                  <w:color w:val="0000FF"/>
                  <w:sz w:val="22"/>
                  <w:u w:val="single"/>
                </w:rPr>
                <w:t>48</w:t>
              </w:r>
            </w:hyperlink>
          </w:p>
        </w:tc>
      </w:tr>
      <w:tr>
        <w:trPr/>
        <w:tc>
          <w:tcPr>
            <w:tcW w:w="957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61eabec19145c5a3e17e1ac0908b46_154">
              <w:r>
                <w:rPr>
                  <w:rStyle w:val="InternetLink"/>
                  <w:rFonts w:ascii="Times New Roman;sans-serif" w:hAnsi="Times New Roman;sans-serif"/>
                  <w:b w:val="false"/>
                  <w:color w:val="0000FF"/>
                  <w:sz w:val="22"/>
                  <w:u w:val="single"/>
                </w:rPr>
                <w:t>Signatures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61eabec19145c5a3e17e1ac0908b46_154">
              <w:r>
                <w:rPr>
                  <w:rStyle w:val="InternetLink"/>
                  <w:rFonts w:ascii="Times New Roman;sans-serif" w:hAnsi="Times New Roman;sans-serif"/>
                  <w:b w:val="false"/>
                  <w:color w:val="0000FF"/>
                  <w:sz w:val="22"/>
                  <w:u w:val="singl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Glossary of Certain Terms and Abbreviations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2"/>
        <w:gridCol w:w="726"/>
        <w:gridCol w:w="666"/>
        <w:gridCol w:w="2820"/>
        <w:gridCol w:w="2139"/>
        <w:gridCol w:w="3032"/>
      </w:tblGrid>
      <w:tr>
        <w:trPr/>
        <w:tc>
          <w:tcPr>
            <w:tcW w:w="8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Centrus Energy Corp. and Related Entities</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Corp.’s Board of Directors</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Enrichment Corp.</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Enrichment Corporation</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 Ridge</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Manufacturing Center in Oak Ridge, Tennessee</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Paducah GDP</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Paducah Gaseous Diffusion Plant, an enrichment plant in Paducah, Kentucky formerly operated by Enrichment Corp.</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Piketon</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facility in Piketon, Ohio</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GDP</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Gaseous Diffusion Plant, an enrichment plant near Portsmouth, Ohio, formerly operated by Enrichment Corp.</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USEC-Government</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Enrichment Corp. prior to 1993, when it was a wholly-owned government corporation</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Terms and Abbreviations</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2002 DOE-USEC Agreement</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17, 2002 agreement between Centrus (then known as USEC Inc.) and the DOE</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5B Cylinders</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Storage cylinders for HALEU UF</w:t>
            </w: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produced by the cascade</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 Notes</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8.25% Notes, maturing February 2027</w:t>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7991"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ARDP</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Advanced Reactor Demonstration Program</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Market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$0.10 par value per share</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$0.10 par value per share</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and Class B Common Stock</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D&amp;D</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Decontamination &amp; Decommissioning</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Commerce</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Energy</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7991"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Assay Low-Enriched Uranium</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Demonstration Contract</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Three-year, $115 million cost-share contract with DOE signed in 2019 by Centrus’ subsidiary, ACO</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Operation Contract</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production contract with DOE signed in 2022</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IEA</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Energy Agency</w:t>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7991"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7991"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LEU</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Low-Enriched Uranium; term is also used to refer to the Centrus Energy Corp. business segment which supplies commercial customers with various components of nuclear fuel</w:t>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7991"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Uranium</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 needed to produce LEU and HALEU</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Nuclear Regulatory Commission</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NUBIL</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built-in loss</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Cycle</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Supply Agreement</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supply of SWU contained in LEU, signed by United States Enrichment Corporation with Orano in 2018 </w:t>
            </w:r>
          </w:p>
        </w:tc>
      </w:tr>
      <w:tr>
        <w:trPr/>
        <w:tc>
          <w:tcPr>
            <w:tcW w:w="2214" w:type="dxa"/>
            <w:gridSpan w:val="3"/>
            <w:tcBorders/>
            <w:vAlign w:val="center"/>
          </w:tcPr>
          <w:p>
            <w:pPr>
              <w:pStyle w:val="TableContents"/>
              <w:bidi w:val="0"/>
              <w:spacing w:before="0" w:after="283"/>
              <w:jc w:val="left"/>
              <w:rPr>
                <w:sz w:val="4"/>
                <w:szCs w:val="4"/>
              </w:rPr>
            </w:pPr>
            <w:r>
              <w:rPr>
                <w:sz w:val="4"/>
                <w:szCs w:val="4"/>
              </w:rPr>
            </w:r>
          </w:p>
        </w:tc>
        <w:tc>
          <w:tcPr>
            <w:tcW w:w="7991" w:type="dxa"/>
            <w:gridSpan w:val="3"/>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MOU</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Memorandum of understanding between the DOE and USEC-Government</w:t>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Act</w:t>
            </w:r>
          </w:p>
        </w:tc>
        <w:tc>
          <w:tcPr>
            <w:tcW w:w="7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Nuclear Industries Indemnity Act (Section 170 of the U.S. Atomic Energy Act of 1954, as amended)</w:t>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RFP</w:t>
            </w:r>
          </w:p>
        </w:tc>
        <w:tc>
          <w:tcPr>
            <w:tcW w:w="7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Request for Proposal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6"/>
        <w:gridCol w:w="523"/>
        <w:gridCol w:w="527"/>
        <w:gridCol w:w="2608"/>
        <w:gridCol w:w="2460"/>
        <w:gridCol w:w="3491"/>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Agreement</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382 Rights Agreement, dated as of April 6, 2016, by and among the Company and Computershare Trust Company, N.A. and Computershare Inc., as rights agent</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Rosatom</w:t>
            </w:r>
          </w:p>
        </w:tc>
        <w:tc>
          <w:tcPr>
            <w:tcW w:w="8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Russian State Atomic Energy Corporation</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1992 Russian Suspension Agreement, as amended</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&amp; Exchange Commission</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SWU</w:t>
            </w:r>
          </w:p>
        </w:tc>
        <w:tc>
          <w:tcPr>
            <w:tcW w:w="8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Centrus Energy Corp. business segment which offers technical, manufacturing, engineering, and operations services to public and private sector customers</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w:t>
            </w:r>
          </w:p>
        </w:tc>
        <w:tc>
          <w:tcPr>
            <w:tcW w:w="8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government-owned entity TENEX, Joint-Stock Company</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 Supply Contract</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with TENEX through 2028</w:t>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8559"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U</w:t>
            </w:r>
            <w:r>
              <w:rPr>
                <w:rFonts w:ascii="Times New Roman;sans-serif" w:hAnsi="Times New Roman;sans-serif"/>
                <w:b w:val="false"/>
                <w:color w:val="000000"/>
                <w:sz w:val="14"/>
              </w:rPr>
              <w:t>235</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Uranium-235 isotope</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w:t>
            </w:r>
            <w:r>
              <w:rPr>
                <w:rFonts w:ascii="Times New Roman;sans-serif" w:hAnsi="Times New Roman;sans-serif"/>
                <w:b w:val="false"/>
                <w:color w:val="000000"/>
                <w:sz w:val="13"/>
              </w:rPr>
              <w:t>3</w:t>
            </w:r>
            <w:r>
              <w:rPr>
                <w:rFonts w:ascii="Times New Roman;sans-serif" w:hAnsi="Times New Roman;sans-serif"/>
                <w:b w:val="false"/>
                <w:color w:val="000000"/>
                <w:sz w:val="20"/>
              </w:rPr>
              <w:t>O</w:t>
            </w:r>
            <w:r>
              <w:rPr>
                <w:rFonts w:ascii="Times New Roman;sans-serif" w:hAnsi="Times New Roman;sans-serif"/>
                <w:b w:val="false"/>
                <w:color w:val="000000"/>
                <w:sz w:val="13"/>
              </w:rPr>
              <w:t>8</w:t>
            </w:r>
          </w:p>
        </w:tc>
        <w:tc>
          <w:tcPr>
            <w:tcW w:w="8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Uranium oxide, aka “yellowcake”</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UF</w:t>
            </w:r>
            <w:r>
              <w:rPr>
                <w:rFonts w:ascii="Times New Roman;sans-serif" w:hAnsi="Times New Roman;sans-serif"/>
                <w:b w:val="false"/>
                <w:color w:val="000000"/>
                <w:sz w:val="13"/>
              </w:rPr>
              <w:t>6</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hexafluoride</w:t>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8559"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8559"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w:t>
            </w:r>
          </w:p>
        </w:tc>
        <w:tc>
          <w:tcPr>
            <w:tcW w:w="8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 to purchase common stock of Centrus Energy Corp., previously held by Kulayba LLC and dated February 2, 2021 and amended December 29, 2022</w:t>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8559"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WNA</w:t>
            </w:r>
          </w:p>
        </w:tc>
        <w:tc>
          <w:tcPr>
            <w:tcW w:w="8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 Nuclear Association</w:t>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85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0" w:after="0"/>
        <w:ind w:left="0" w:right="0" w:firstLine="270"/>
        <w:jc w:val="center"/>
        <w:rPr>
          <w:rFonts w:ascii="Times New Roman;sans-serif" w:hAnsi="Times New Roman;sans-serif"/>
          <w:b/>
          <w:color w:val="000000"/>
          <w:sz w:val="22"/>
        </w:rPr>
      </w:pPr>
      <w:r>
        <w:rPr>
          <w:rFonts w:ascii="Times New Roman;sans-serif" w:hAnsi="Times New Roman;sans-serif"/>
          <w:b/>
          <w:color w:val="000000"/>
          <w:sz w:val="22"/>
        </w:rPr>
        <w:t>CAUTIONARY STATEMENTS REGARDING FORWARD-LOOKING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of Centrus (the “Company,” “we” or “us”) contains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 xml:space="preserve">The factors that could cause actual results to differ materially from the forward-looking statements made by us include those factors discussed herein, including those factors discussed in (a) Part I, Item 1. </w:t>
      </w:r>
      <w:r>
        <w:rPr>
          <w:rFonts w:ascii="Times New Roman;sans-serif" w:hAnsi="Times New Roman;sans-serif"/>
          <w:b w:val="false"/>
          <w:i/>
          <w:color w:val="000000"/>
          <w:sz w:val="22"/>
        </w:rPr>
        <w:t>Financial Statements (Unaudited)</w:t>
      </w:r>
      <w:r>
        <w:rPr>
          <w:rFonts w:ascii="Times New Roman;sans-serif" w:hAnsi="Times New Roman;sans-serif"/>
          <w:b w:val="false"/>
          <w:color w:val="000000"/>
          <w:sz w:val="22"/>
        </w:rPr>
        <w:t xml:space="preserve">: Note 11, </w:t>
      </w:r>
      <w:r>
        <w:rPr>
          <w:rFonts w:ascii="Times New Roman;sans-serif" w:hAnsi="Times New Roman;sans-serif"/>
          <w:b w:val="false"/>
          <w:i/>
          <w:color w:val="000000"/>
          <w:sz w:val="22"/>
        </w:rPr>
        <w:t>Commitments and Contingencies</w:t>
      </w:r>
      <w:r>
        <w:rPr>
          <w:rFonts w:ascii="Times New Roman;sans-serif" w:hAnsi="Times New Roman;sans-serif"/>
          <w:b w:val="false"/>
          <w:color w:val="000000"/>
          <w:sz w:val="22"/>
        </w:rPr>
        <w:t xml:space="preserve">, (b) Part I, Item 2. </w:t>
      </w:r>
      <w:r>
        <w:rPr>
          <w:rFonts w:ascii="Times New Roman;sans-serif" w:hAnsi="Times New Roman;sans-serif"/>
          <w:b w:val="false"/>
          <w:i/>
          <w:color w:val="000000"/>
          <w:sz w:val="22"/>
        </w:rPr>
        <w:t>Management’s Discussion and Analysis of Financial Condition and Results of Operations,</w:t>
      </w:r>
      <w:r>
        <w:rPr>
          <w:color w:val="000000"/>
        </w:rPr>
        <w:t xml:space="preserve"> </w:t>
      </w:r>
      <w:r>
        <w:rPr>
          <w:rFonts w:ascii="Times New Roman;sans-serif" w:hAnsi="Times New Roman;sans-serif"/>
          <w:b w:val="false"/>
          <w:color w:val="000000"/>
          <w:sz w:val="22"/>
        </w:rPr>
        <w:t xml:space="preserve">(c) Part II,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and (d) other factors discussed in the Company’s filings with the SEC. Readers are cautioned not to place undue reliance on these forward-looking statements, which apply only as of the date of this Report. The Company does not undertake any obligation to publicly release any revision to its forward-looking statements to reflect events or circumstances that may arise after the date of this Quarterly Report on Form 10-Q unless required by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Risks related to the war in Ukraine</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war and geopolitical conflicts and the imposition of sanctions or other measures by (i) the U.S. or foreign governments and institutions, (ii) organizations (including the United Nations or other international organizations), or (iii) entities (including private entities or persons), that could directly or indirectly impact our ability to obtain, deliver, transport or sell LEU or the SWU and natural uranium hexafluoride components of LEU delivered to us under the TENEX Supply Contract or make related payments or deliveries of natural uranium hexafluoride to TENEX;</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legislation to ban imports of Russian LEU into the United States, including the enactment of the “Prohibiting Russian Uranium Imports Act” which has been presented to the President of the United States for signature into law, or transactions with Rosatom or its subsidiaries, which includes TENEX, or similar bills that become law and the potential inability to secure a waiver or other exception from the ban or sanction in a timely manner or at all in order to allow us to continue importing Russian LEU under the TENEX Supply Contract or otherwise doing business with TENEX or implementing the TENEX Supply Contract;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refusal or inability of TENEX to deliver LEU to us if, among other reasons, (i) U.S. or foreign government sanctions are imposed on LEU from Russia or on TENEX, (ii) for any reason, TENEX is unable or unwilling to deliver LEU, receive payments, receive the return of natural uranium hexafluoride, or conduct other activities related to the TENEX Supply Contract, or (iii) TENEX elects, or is directed (including by its owner or the Russian government), to limit or stop transactions with us or with the United States or other countries;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disputes with third parties, including contractual counterparties, that could result if we are unable to receive timely deliveries of LEU under the TENEX Supply Contract.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Risks related to economic and industry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whether or when government funding or demand for HALEU for government or commercial uses will materialize and at what level;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regarding funding for continuation and deployment of the American Centrifuge technology;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our ability to perform and absorb costs under the HALEU Operation Contract, (ii) our ability to obtain new contracts and funding to be able to continue operations and (iii) our ability to obtain and/or perform under other agreements;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dependence on others, such as TENEX, under the TENEX Supply Contract, Orano under the Orano Supply Agreement and other suppliers (including, but not limited to, transporters) who provide, or deliver, us the goods and services we need to conduct our business and any resulting negative impact on our liquidity;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natural and other disasters, including the continued impact of the March 2011 earthquake and tsunami in Japan on the nuclear industry and on our business, results of operations and prospects;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pandemics, endemics, and other health crises;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and potential extended duration of a supply/demand imbalance in the market for LEU;</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sell or deliver the LEU we procure pursuant to our purchase obligations under our supply agreements and the impacts of sanctions or limitations on imports of such LEU, including those imposed under the RSA, international trade legislation and other international trade restrictions;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existing or new trade barriers and to contract terms that limit our ability to procure LEU for, or deliver LEU to, customers;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pricing trends and demand in the uranium and enrichment markets and their impact on our profitability;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movement and timing of customer orders;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we face significant competition from major LEU producers who may be less cost sensitive or are wholly or partially government owned;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our ability to compete in foreign markets may be limited for various reasons;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our revenue is largely dependent on our largest customers;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backlog, including uncertainty concerning customer actions under current contracts and in future contracting due to market conditions, global events or other factors including our lack of current production capability. </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operational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uncertainty regarding our ability to commercially deploy competitive enrichment technology;</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potential for demobilization or termination of the HALEU Operation Contract;</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that we will not be able to timely complete the work that we are obligated to perform;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government’s inability to satisfy its obligations, including supplying government furnished equipment necessary for us to produce and deliver HALEU under the HALEU Operation Contract and processing security clearance applications due to a government shutdown or other reasons;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obtain the government’s approval to extend the term of, or the scope of permitted activities under, our lease with the DOE in Piketon, Ohio;</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cybersecurity incidents that may impact our business operations;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ability to perform fixed-price and cost-share contracts such as the HALEU Operation Contract, including the risk that costs that we must bear could be higher than expected and the risk related to complying with stringent government contractual requirements;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a government shutdown or lack of funding that could result in program cancellations, disruptions and/or stop work orders and could limit the U.S. government’s ability to make timely payments, and our ability to perform our U.S. government contracts and successfully compete for our work;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reliance on the only firm that has the necessary permits and capability to transport LEU from Russia to the United States.</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financial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significant long-term liabilities, including material unfunded defined benefit pension plan obligations and postretirement health and life benefit obligations;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8.25% Notes maturing in February 2027;</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revenue and operating results fluctuating significantly from quarter to quarter, and in some cases, year to year;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impact of financial market conditions on our business, liquidity, prospects, pension assets and insurance facilities;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Company’s capital concentration;</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value of our intangible assets related to LEU’s backlog and customer relationships;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limited trading markets in our securities;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decisions made by our Class B Common Stock stockholders regarding their investment in the Company, including decisions based upon factors that are unrelated to the Company’s performance;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the use of our NOL carryforwards and NUBILs to offset future taxable income and the use of the Rights Agreement (as defined herein) to prevent an “ownership change” as defined in Section 382 of the IRC and (ii) our ability to generate taxable income to utilize all or a portion of the NOLs prior to the expiration thereof and NUBILs;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failures or security breaches of our information technology systems.</w:t>
      </w:r>
    </w:p>
    <w:p>
      <w:pPr>
        <w:pStyle w:val="TextBody"/>
        <w:bidi w:val="0"/>
        <w:spacing w:before="0" w:after="60"/>
        <w:jc w:val="left"/>
        <w:rPr/>
      </w:pPr>
      <w:r>
        <w:rPr/>
      </w:r>
    </w:p>
    <w:p>
      <w:pPr>
        <w:pStyle w:val="TextBody"/>
        <w:bidi w:val="0"/>
        <w:spacing w:lineRule="auto" w:line="288" w:before="0" w:after="60"/>
        <w:jc w:val="left"/>
        <w:rPr/>
      </w:pPr>
      <w:r>
        <w:rPr>
          <w:rFonts w:ascii="Times New Roman;sans-serif" w:hAnsi="Times New Roman;sans-serif"/>
          <w:b/>
          <w:color w:val="000000"/>
          <w:sz w:val="22"/>
        </w:rPr>
        <w:t>Risks related to general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attract and retain key personnel;</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actions, including reviews or audits, that may be taken by the U.S. government, the Russian government, or other governments that could affect our ability to perform under our contractual obligations or the ability of our sources of supply to perform under their contractual obligations to us;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perform and receive timely payment under our agreements with the DOE or other government agencies, including risks related to the ongoing funding by the government and potential audits;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or termination of our agreements with the U.S. government or other counterparties, or the exercise of contract remedies by such counterparties;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competitive environment for our products and services;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in the nuclear energy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competitive bidding process associated with obtaining contracts, including government contracts;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we will be unable to obtain new business opportunities or achieve market acceptance of our products and services or that products or services provided by others will render our products or services obsolete or noncompetitive;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potential strategic transactions that could be difficult to implement, that could disrupt our business or that could change our business profile significantly.</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2"/>
        </w:rPr>
        <w:t>Risks related to legal and compliance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outcome of legal proceedings and other contingencies (including lawsuits and government investigations or audits);</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of government regulation and policies, including by the DOE and the NRC;</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accidents during the transportation, handling, or processing of toxic hazardous or radioactive material that may pose a health risk to humans or animals, cause property or environmental damage, or result in precautionary evacuations, and lead to claims against the Company; </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associated with claims and litigation arising from past activities at sites we currently operate or past activities at sites we no longer operate, including the Paducah, Kentucky and Portsmouth, Ohio GDPs; and</w:t>
      </w:r>
    </w:p>
    <w:p>
      <w:pPr>
        <w:pStyle w:val="TextBody"/>
        <w:bidi w:val="0"/>
        <w:spacing w:lineRule="auto" w:line="288" w:before="0" w:after="60"/>
        <w:ind w:left="0" w:right="0" w:hanging="360"/>
        <w:jc w:val="left"/>
        <w:rPr/>
      </w:pPr>
      <w:r>
        <w:rPr>
          <w:color w:val="000000"/>
          <w:shd w:fill="FFFFFF" w:val="clear"/>
        </w:rPr>
        <w:t>•</w:t>
      </w:r>
      <w:r>
        <w:rPr>
          <w:rFonts w:ascii="Times New Roman;sans-serif" w:hAnsi="Times New Roman;sans-serif"/>
          <w:b w:val="false"/>
          <w:color w:val="000000"/>
          <w:sz w:val="22"/>
          <w:shd w:fill="FFFFFF" w:val="clear"/>
        </w:rPr>
        <w:t>other risks discussed in this and our other filings with the SEC.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a more detailed discussion of these risks and others that could cause actual results to differ materially from those contained in our forward-looking statements, please see our Annual Report on Form 10-K for the year ended December 31, 2023. These factors may not constitute all factors that could cause actual results to differ from those discussed in any forward-looking statement. Accordingly, forward-looking statements should not be relied upon as a predictor of actual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CENTRUS ENERGY CORP.</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BALANCE SHEETS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3135"/>
        <w:gridCol w:w="2384"/>
        <w:gridCol w:w="2353"/>
        <w:gridCol w:w="211"/>
        <w:gridCol w:w="616"/>
        <w:gridCol w:w="109"/>
        <w:gridCol w:w="109"/>
        <w:gridCol w:w="109"/>
        <w:gridCol w:w="109"/>
        <w:gridCol w:w="229"/>
        <w:gridCol w:w="670"/>
        <w:gridCol w:w="171"/>
      </w:tblGrid>
      <w:tr>
        <w:trPr/>
        <w:tc>
          <w:tcPr>
            <w:tcW w:w="3135"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w:t>
              <w:br/>
              <w:t>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w:t>
              <w:br/>
              <w:t> 2023</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costs associated with 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685.4 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 of accumulated depreciation of $4.4 million as of March 31, 2024 and $4.3 million as of December 31, 2023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Payables under inventory purchase agreements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owed to customers and suppliers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Short-term inventory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Postretirement health and life benefit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Pension benefit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par value $1.00 per share, 20,000,000 shares authorized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A Participating Cumulative Preferred Stock, none issued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B Senior Preferred Stock, none issued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A Common Stock, par value $0.10 per share, 70,000,000 shares authorized, 15,281,474 and 14,956,434 shares issued and outstanding as of March 31, 2024 and December 31, 2023,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B Common Stock, par value $0.10 per share, 30,000,000 shares authorized, 719,200 shares issued and outstanding as of March 31, 2024 and December 31, 2023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Excess of capital over par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 except share and per share data)</w:t>
      </w:r>
    </w:p>
    <w:p>
      <w:pPr>
        <w:pStyle w:val="TextBody"/>
        <w:bidi w:val="0"/>
        <w:spacing w:before="0" w:after="0"/>
        <w:jc w:val="center"/>
        <w:rPr/>
      </w:pPr>
      <w:r>
        <w:rPr/>
      </w:r>
    </w:p>
    <w:tbl>
      <w:tblPr>
        <w:tblW w:w="7779" w:type="dxa"/>
        <w:jc w:val="left"/>
        <w:tblInd w:w="0" w:type="dxa"/>
        <w:tblLayout w:type="fixed"/>
        <w:tblCellMar>
          <w:top w:w="28" w:type="dxa"/>
          <w:left w:w="28" w:type="dxa"/>
          <w:bottom w:w="28" w:type="dxa"/>
          <w:right w:w="28" w:type="dxa"/>
        </w:tblCellMar>
      </w:tblPr>
      <w:tblGrid>
        <w:gridCol w:w="1888"/>
        <w:gridCol w:w="1667"/>
        <w:gridCol w:w="1679"/>
        <w:gridCol w:w="211"/>
        <w:gridCol w:w="586"/>
        <w:gridCol w:w="109"/>
        <w:gridCol w:w="109"/>
        <w:gridCol w:w="109"/>
        <w:gridCol w:w="109"/>
        <w:gridCol w:w="211"/>
        <w:gridCol w:w="511"/>
        <w:gridCol w:w="109"/>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 and uranium</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of sales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Special charges for workforce reductions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before income taxes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 (benefit)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and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Average number of common shares outstanding (in thousands):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Basic</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Diluted</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w:t>
      </w:r>
    </w:p>
    <w:tbl>
      <w:tblPr>
        <w:tblW w:w="8501" w:type="dxa"/>
        <w:jc w:val="left"/>
        <w:tblInd w:w="0" w:type="dxa"/>
        <w:tblLayout w:type="fixed"/>
        <w:tblCellMar>
          <w:top w:w="28" w:type="dxa"/>
          <w:left w:w="28" w:type="dxa"/>
          <w:bottom w:w="28" w:type="dxa"/>
          <w:right w:w="28" w:type="dxa"/>
        </w:tblCellMar>
      </w:tblPr>
      <w:tblGrid>
        <w:gridCol w:w="2132"/>
        <w:gridCol w:w="1872"/>
        <w:gridCol w:w="1876"/>
        <w:gridCol w:w="245"/>
        <w:gridCol w:w="697"/>
        <w:gridCol w:w="136"/>
        <w:gridCol w:w="136"/>
        <w:gridCol w:w="136"/>
        <w:gridCol w:w="136"/>
        <w:gridCol w:w="245"/>
        <w:gridCol w:w="697"/>
        <w:gridCol w:w="193"/>
      </w:tblGrid>
      <w:tr>
        <w:trPr/>
        <w:tc>
          <w:tcPr>
            <w:tcW w:w="213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w:t>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cash used in operating activities: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loss on long-term contract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related compensation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inventory borrowing</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reconciling adjustments,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owed to customers and suppliers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under inventory purchase agreements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advances from customers, net of deferred costs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 liabilities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operating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interest classified as debt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financing activities</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cash, cash equivalents and restricted cash</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 (Note 3)</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 (Note 3)</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activities: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of right to use lease assets from lease modification</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included in accounts payable and accrued liabilities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issuance costs included in accounts payable and accrued liabilities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employee taxes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ATM proceeds included in accounts receivable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bidi w:val="0"/>
        <w:spacing w:lineRule="auto" w:line="288" w:before="0" w:after="0"/>
        <w:jc w:val="left"/>
        <w:rPr/>
      </w:pPr>
      <w:r>
        <w:rPr>
          <w:rFonts w:ascii="Times New Roman;sans-serif" w:hAnsi="Times New Roman;sans-serif"/>
          <w:b/>
          <w:color w:val="000000"/>
          <w:sz w:val="20"/>
        </w:rPr>
        <w:t>(</w:t>
      </w:r>
      <w:r>
        <w:rPr>
          <w:rFonts w:ascii="Times New Roman;sans-serif" w:hAnsi="Times New Roman;sans-serif"/>
          <w:b/>
          <w:color w:val="000000"/>
          <w:sz w:val="19"/>
        </w:rPr>
        <w:t xml:space="preserve">Unaudited; </w:t>
      </w:r>
      <w:r>
        <w:rPr>
          <w:rFonts w:ascii="Times New Roman;sans-serif" w:hAnsi="Times New Roman;sans-serif"/>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835"/>
        <w:gridCol w:w="361"/>
        <w:gridCol w:w="362"/>
        <w:gridCol w:w="238"/>
        <w:gridCol w:w="494"/>
        <w:gridCol w:w="133"/>
        <w:gridCol w:w="109"/>
        <w:gridCol w:w="109"/>
        <w:gridCol w:w="109"/>
        <w:gridCol w:w="230"/>
        <w:gridCol w:w="460"/>
        <w:gridCol w:w="129"/>
        <w:gridCol w:w="109"/>
        <w:gridCol w:w="109"/>
        <w:gridCol w:w="109"/>
        <w:gridCol w:w="230"/>
        <w:gridCol w:w="460"/>
        <w:gridCol w:w="129"/>
        <w:gridCol w:w="109"/>
        <w:gridCol w:w="109"/>
        <w:gridCol w:w="109"/>
        <w:gridCol w:w="200"/>
        <w:gridCol w:w="584"/>
        <w:gridCol w:w="111"/>
        <w:gridCol w:w="109"/>
        <w:gridCol w:w="109"/>
        <w:gridCol w:w="109"/>
        <w:gridCol w:w="248"/>
        <w:gridCol w:w="723"/>
        <w:gridCol w:w="138"/>
        <w:gridCol w:w="109"/>
        <w:gridCol w:w="109"/>
        <w:gridCol w:w="109"/>
        <w:gridCol w:w="374"/>
        <w:gridCol w:w="748"/>
        <w:gridCol w:w="209"/>
        <w:gridCol w:w="109"/>
        <w:gridCol w:w="109"/>
        <w:gridCol w:w="109"/>
        <w:gridCol w:w="196"/>
        <w:gridCol w:w="487"/>
        <w:gridCol w:w="164"/>
      </w:tblGrid>
      <w:tr>
        <w:trPr/>
        <w:tc>
          <w:tcPr>
            <w:tcW w:w="8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b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of</w:t>
              <w:br/>
              <w:t>Capital Over</w:t>
              <w:b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for the three months ended March 31, 2023</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180.5</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(226.7)</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(44.5)</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19"/>
        <w:gridCol w:w="354"/>
        <w:gridCol w:w="356"/>
        <w:gridCol w:w="240"/>
        <w:gridCol w:w="499"/>
        <w:gridCol w:w="134"/>
        <w:gridCol w:w="109"/>
        <w:gridCol w:w="109"/>
        <w:gridCol w:w="109"/>
        <w:gridCol w:w="233"/>
        <w:gridCol w:w="466"/>
        <w:gridCol w:w="131"/>
        <w:gridCol w:w="109"/>
        <w:gridCol w:w="109"/>
        <w:gridCol w:w="109"/>
        <w:gridCol w:w="233"/>
        <w:gridCol w:w="466"/>
        <w:gridCol w:w="131"/>
        <w:gridCol w:w="109"/>
        <w:gridCol w:w="109"/>
        <w:gridCol w:w="109"/>
        <w:gridCol w:w="201"/>
        <w:gridCol w:w="587"/>
        <w:gridCol w:w="112"/>
        <w:gridCol w:w="109"/>
        <w:gridCol w:w="109"/>
        <w:gridCol w:w="109"/>
        <w:gridCol w:w="250"/>
        <w:gridCol w:w="729"/>
        <w:gridCol w:w="139"/>
        <w:gridCol w:w="109"/>
        <w:gridCol w:w="109"/>
        <w:gridCol w:w="109"/>
        <w:gridCol w:w="372"/>
        <w:gridCol w:w="744"/>
        <w:gridCol w:w="208"/>
        <w:gridCol w:w="109"/>
        <w:gridCol w:w="109"/>
        <w:gridCol w:w="109"/>
        <w:gridCol w:w="196"/>
        <w:gridCol w:w="481"/>
        <w:gridCol w:w="162"/>
      </w:tblGrid>
      <w:tr>
        <w:trPr/>
        <w:tc>
          <w:tcPr>
            <w:tcW w:w="81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b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of</w:t>
              <w:br/>
              <w:t>Capital Over</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 for the three months ended March 31, 2024</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188.2</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(155.6)</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(0.4)</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33.8</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CENTRUS ENERGY CORP.</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Basis of Presentation and Principles of Consolidation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unaudited Consolidated Financial Statements of Centrus (the “Company”), which include the accounts of the Company, its principal subsidiary, Enrichment Corp., and its other subsidiaries, as of March 31, 2024, and for the three months ended March 31, 2024, and 2023, have been prepared pursuant to the rules and regulations of the SEC. The unaudited Consolidated Balance Sheet as of December 31, 2023, was derived from audited Consolidated Financial Statements, but does not include all disclosures required by U.S. GAAP. In the opinion of management, the unaudited Consolidated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months ended March 31, 2024 and 2023, are insignificant.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Operating results for the three months ended March 31, 2024, are not necessarily indicative of the results that may be expected for the year ending December 31, 2024. The unaudited Consolidated Financial Statements should be read in conjunction with the Consolidated Financial Statements included in the Annual Report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Significant Accounting Policies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accounting policies of the Company are set forth in Note 1, </w:t>
      </w:r>
      <w:r>
        <w:rPr>
          <w:rFonts w:ascii="Times New Roman;sans-serif" w:hAnsi="Times New Roman;sans-serif"/>
          <w:b w:val="false"/>
          <w:i/>
          <w:color w:val="000000"/>
          <w:sz w:val="22"/>
        </w:rPr>
        <w:t>Summary of Significant Accounting Policies</w:t>
      </w:r>
      <w:r>
        <w:rPr>
          <w:rFonts w:ascii="Times New Roman;sans-serif" w:hAnsi="Times New Roman;sans-serif"/>
          <w:b w:val="false"/>
          <w:color w:val="000000"/>
          <w:sz w:val="22"/>
        </w:rPr>
        <w:t>, of the Consolidated Financial Statements in the Company’s Annual Report on Form 10-K for the year ended December 31, 2023. There has not been a material change to the Company’s accounting policies since that report.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Accounting Standards Effective in Future Periods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November 2023, the Financial Accounting Standards Board (“FASB”) issued Accounting Standards Update ("ASU") 2023-07, </w:t>
      </w:r>
      <w:r>
        <w:rPr>
          <w:rFonts w:ascii="Times New Roman;sans-serif" w:hAnsi="Times New Roman;sans-serif"/>
          <w:b w:val="false"/>
          <w:i/>
          <w:color w:val="000000"/>
          <w:sz w:val="22"/>
        </w:rPr>
        <w:t>Segment Reporting</w:t>
      </w:r>
      <w:r>
        <w:rPr>
          <w:rFonts w:ascii="Times New Roman;sans-serif" w:hAnsi="Times New Roman;sans-serif"/>
          <w:b w:val="false"/>
          <w:color w:val="000000"/>
          <w:sz w:val="22"/>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The Company is evaluating the impact this will have on its Consolidated Financial Statements.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December 2023, the FASB issued ASU 2023-09,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expect the pronouncement to have any material impact on its Notes to the Consolidated Financial Statements.</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2. REVENUE AND CONTRACTS WITH CUSTOMERS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Disaggregation of Revenue</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revenue from SWU and uranium sales disaggregated by geographical region based on the billing addresses of customers (in millions):</w:t>
      </w:r>
    </w:p>
    <w:p>
      <w:pPr>
        <w:pStyle w:val="TextBody"/>
        <w:bidi w:val="0"/>
        <w:spacing w:before="0" w:after="0"/>
        <w:ind w:left="0" w:right="0" w:firstLine="270"/>
        <w:jc w:val="left"/>
        <w:rPr/>
      </w:pPr>
      <w:r>
        <w:rPr/>
      </w:r>
    </w:p>
    <w:tbl>
      <w:tblPr>
        <w:tblW w:w="5831" w:type="dxa"/>
        <w:jc w:val="center"/>
        <w:tblInd w:w="0" w:type="dxa"/>
        <w:tblLayout w:type="fixed"/>
        <w:tblCellMar>
          <w:top w:w="28" w:type="dxa"/>
          <w:left w:w="28" w:type="dxa"/>
          <w:bottom w:w="28" w:type="dxa"/>
          <w:right w:w="28" w:type="dxa"/>
        </w:tblCellMar>
      </w:tblPr>
      <w:tblGrid>
        <w:gridCol w:w="930"/>
        <w:gridCol w:w="815"/>
        <w:gridCol w:w="819"/>
        <w:gridCol w:w="291"/>
        <w:gridCol w:w="727"/>
        <w:gridCol w:w="150"/>
        <w:gridCol w:w="150"/>
        <w:gridCol w:w="150"/>
        <w:gridCol w:w="150"/>
        <w:gridCol w:w="291"/>
        <w:gridCol w:w="727"/>
        <w:gridCol w:w="150"/>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Foreign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Revenue - SWU and uranium</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23.6</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58.8</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Refer to Note 12</w:t>
      </w:r>
      <w:r>
        <w:rPr>
          <w:rFonts w:ascii="Times New Roman;sans-serif" w:hAnsi="Times New Roman;sans-serif"/>
          <w:b w:val="false"/>
          <w:i/>
          <w:color w:val="000000"/>
          <w:sz w:val="22"/>
        </w:rPr>
        <w:t>, Segment Information,</w:t>
      </w:r>
      <w:r>
        <w:rPr>
          <w:color w:val="000000"/>
        </w:rPr>
        <w:t xml:space="preserve"> </w:t>
      </w:r>
      <w:r>
        <w:rPr>
          <w:rFonts w:ascii="Times New Roman;sans-serif" w:hAnsi="Times New Roman;sans-serif"/>
          <w:b w:val="false"/>
          <w:color w:val="000000"/>
          <w:sz w:val="22"/>
        </w:rPr>
        <w:t>of this Quarterly Report on Form 10-Q for disaggregation of revenue by segment. Revenue for the LEU Segment is derived from the sales of the SWU component of LEU, from sales of both the SWU and uranium components, and from sales of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and U</w:t>
      </w:r>
      <w:r>
        <w:rPr>
          <w:rFonts w:ascii="Times New Roman;sans-serif" w:hAnsi="Times New Roman;sans-serif"/>
          <w:b w:val="false"/>
          <w:color w:val="000000"/>
          <w:sz w:val="14"/>
        </w:rPr>
        <w:t>3</w:t>
      </w:r>
      <w:r>
        <w:rPr>
          <w:rFonts w:ascii="Times New Roman;sans-serif" w:hAnsi="Times New Roman;sans-serif"/>
          <w:b w:val="false"/>
          <w:color w:val="000000"/>
          <w:sz w:val="22"/>
        </w:rPr>
        <w:t>O</w:t>
      </w:r>
      <w:r>
        <w:rPr>
          <w:rFonts w:ascii="Times New Roman;sans-serif" w:hAnsi="Times New Roman;sans-serif"/>
          <w:b w:val="false"/>
          <w:color w:val="000000"/>
          <w:sz w:val="14"/>
        </w:rPr>
        <w:t>8</w:t>
      </w:r>
      <w:r>
        <w:rPr>
          <w:rFonts w:ascii="Times New Roman;sans-serif" w:hAnsi="Times New Roman;sans-serif"/>
          <w:b w:val="false"/>
          <w:color w:val="000000"/>
          <w:sz w:val="22"/>
        </w:rPr>
        <w:t>, to electric utility customers and other nuclear fuel related companies. Technical Solutions’ revenue is derived from services provided to the U.S. government and its contractors. SWU and uranium revenue is recognized when the customer obtains control of the SWU or uranium and Technical Solutions’ revenue is generally recognized over time based on direct costs incurred or the right to invoice method (in situations where the value transferred matches the Company’s billing rights) as the customer receives and consumes the benefits.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Accounts Receivable</w:t>
      </w:r>
    </w:p>
    <w:tbl>
      <w:tblPr>
        <w:tblW w:w="10205" w:type="dxa"/>
        <w:jc w:val="center"/>
        <w:tblInd w:w="0" w:type="dxa"/>
        <w:tblLayout w:type="fixed"/>
        <w:tblCellMar>
          <w:top w:w="28" w:type="dxa"/>
          <w:left w:w="28" w:type="dxa"/>
          <w:bottom w:w="28" w:type="dxa"/>
          <w:right w:w="28" w:type="dxa"/>
        </w:tblCellMar>
      </w:tblPr>
      <w:tblGrid>
        <w:gridCol w:w="1175"/>
        <w:gridCol w:w="1001"/>
        <w:gridCol w:w="1003"/>
        <w:gridCol w:w="229"/>
        <w:gridCol w:w="229"/>
        <w:gridCol w:w="229"/>
        <w:gridCol w:w="635"/>
        <w:gridCol w:w="1583"/>
        <w:gridCol w:w="327"/>
        <w:gridCol w:w="229"/>
        <w:gridCol w:w="229"/>
        <w:gridCol w:w="229"/>
        <w:gridCol w:w="733"/>
        <w:gridCol w:w="1828"/>
        <w:gridCol w:w="546"/>
      </w:tblGrid>
      <w:tr>
        <w:trPr/>
        <w:tc>
          <w:tcPr>
            <w:tcW w:w="117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Billed</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Unbilled *</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2545"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107"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Accounts receivable</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19.9</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49.4</w:t>
            </w:r>
            <w:r>
              <w:rPr>
                <w:color w:val="000000"/>
              </w:rPr>
              <w:t>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the customer and approved. Unbilled revenue also includes unconditional rights to payment that are not yet billable under applicable contracts due to timing of invoice processing or pending the compilation of supporting documentation.</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Contract Liabilities</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changes in contract liability balances (in millions):</w:t>
      </w:r>
    </w:p>
    <w:tbl>
      <w:tblPr>
        <w:tblW w:w="8538" w:type="dxa"/>
        <w:jc w:val="center"/>
        <w:tblInd w:w="0" w:type="dxa"/>
        <w:tblLayout w:type="fixed"/>
        <w:tblCellMar>
          <w:top w:w="28" w:type="dxa"/>
          <w:left w:w="28" w:type="dxa"/>
          <w:bottom w:w="28" w:type="dxa"/>
          <w:right w:w="28" w:type="dxa"/>
        </w:tblCellMar>
      </w:tblPr>
      <w:tblGrid>
        <w:gridCol w:w="1169"/>
        <w:gridCol w:w="1025"/>
        <w:gridCol w:w="1030"/>
        <w:gridCol w:w="109"/>
        <w:gridCol w:w="109"/>
        <w:gridCol w:w="109"/>
        <w:gridCol w:w="230"/>
        <w:gridCol w:w="671"/>
        <w:gridCol w:w="118"/>
        <w:gridCol w:w="109"/>
        <w:gridCol w:w="109"/>
        <w:gridCol w:w="109"/>
        <w:gridCol w:w="293"/>
        <w:gridCol w:w="858"/>
        <w:gridCol w:w="153"/>
        <w:gridCol w:w="109"/>
        <w:gridCol w:w="109"/>
        <w:gridCol w:w="109"/>
        <w:gridCol w:w="549"/>
        <w:gridCol w:w="1058"/>
        <w:gridCol w:w="403"/>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w:t>
              <w:br/>
              <w:t>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w:t>
              <w:br/>
              <w:t>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Year-To-Date Change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Previously deferred sales and advances from customers recognized in revenue totaled $0 in both the three months ended March 31, 2024 and 2023.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LEU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SWU component of LEU typically is sold under contracts with deliveries over several years. The Company’s agreements for natural uranium hexafluoride and uranium concentrate sales generally are shorter-term, fixed-commitment contracts. </w:t>
      </w:r>
      <w:r>
        <w:rPr>
          <w:rFonts w:ascii="Times New Roman;sans-serif" w:hAnsi="Times New Roman;sans-serif"/>
          <w:b w:val="false"/>
          <w:color w:val="0D0D0D"/>
          <w:sz w:val="22"/>
        </w:rPr>
        <w:t xml:space="preserve">Most of </w:t>
      </w:r>
      <w:r>
        <w:rPr>
          <w:rFonts w:ascii="Times New Roman;sans-serif" w:hAnsi="Times New Roman;sans-serif"/>
          <w:b w:val="false"/>
          <w:color w:val="000000"/>
          <w:sz w:val="22"/>
        </w:rPr>
        <w:t>the Company’s</w:t>
      </w:r>
      <w:r>
        <w:rPr>
          <w:color w:val="0D0D0D"/>
        </w:rPr>
        <w:t xml:space="preserve"> </w:t>
      </w:r>
      <w:r>
        <w:rPr>
          <w:rFonts w:ascii="Times New Roman;sans-serif" w:hAnsi="Times New Roman;sans-serif"/>
          <w:b w:val="false"/>
          <w:color w:val="0D0D0D"/>
          <w:sz w:val="22"/>
        </w:rPr>
        <w:t>customer contracts provide for fixed purchases of SWU during a given year. Depending on the terms of specific contracts, the customer may be able to increase or decrease the quantity delivered within an agreed range.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Technical Solutions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Revenue for the Technical Solutions segment, representing the Company’s technical, manufacturing, engineering, procurement, construction, and operations services offered to public and private sector customers, is recognized over the contractual period as services are rendered.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2019, the Company entered into a cost-share contract with the DOE, the HALEU Demonstration Contract, to deploy a cascade of centrifuges to demonstrate production of HALEU for advanced reactors. The DOE agreed to reimburse the Company for 80% of its costs incurred in performing the contract. The DOE has funded the contract up to $173.0 million with a period of performance that ended November 30, 2022. The Company recorded revenue up to the funded amount of $173.0 million and received aggregate cash payments under the HALEU Demonstration Contract of $171.2 million through March 31, 2024. The Company is currently performing closeout activities on the HALEU Demonstration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DOE elected to move the operational portion of the HALEU Demonstration Contract to a subsequent, competitively awarded contract and, on November 10, 2022, after a competitive solicitation, the DOE awarded the HALEU Operation Contract to the Company, and work began on December 1, 2022. The base contract value is approximately $150 million with two phases through 2024. Phase 1 included an approximately $30 million cost-share contribution from Centrus matched by approximately $30 million from the DOE to complete construction of the cascade, begin operations and produce the initial 20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by no later than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Phase 2 of the HALEU Operation Contract includes production of 900 kilograms per year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as well as continued operations and maintenance. The DOE owns the HALEU produced from the demonstration cascade and Centrus is being compensated on a cost-plus-incentive-fee basis, with an expected Phase 2 contract value of approximately $90 million, subject to Congressional appropriations. The HALEU Operation Contract also gives DOE options to pay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obligated to provide the 5B Cylinders necessary to collect the output of the cascade, but supply chain challenges have created difficulties for DOE in securing enough 5B Cylinders for the entire production year. Using the 5B Cylinders currently made available by the DOE, Centrus has now achieved cumulative deliveries to the DOE of approximately 135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Centrus’ delivery of the 900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which it no longer can achieve by November 2024, was conditioned on the DOE’s ability to provide the 5B Cylinders on a timeline that allows for continuous production throughout Phase 2 of the contract. During time periods when 5B Cylinders are insufficient, the Company will be able to continue operations of the cascade, but will not be able to produce HALEU. The 9% target fee for Phase 2 of the contract was estimated to be $7.5 million based on the estimated costs for the contract and is subject to a contract minimum fee of $6.9 million.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To support the DOE in mitigating the risk of further delays in delivery of 5B Cylinders, the Company received technical direction and a contract modification from the DOE to procure compliant 5B Cylinders and components. The contractual obligation to furnish compliant 5B Cylinders under the HALEU Operation Contract continues to rest with the DOE. The Company is also performing additional work on infrastructure and facility repairs under DOE’s technical direction. On September 28, 2023, the DOE modified the HALEU Operation Contract to incorporate additional scope, not subject to cost-share reimbursement, for infrastructure and facility repairs, and costs associated with 5B Cylinder refurbishment, for an estimated additional contract value of $5.8 million. The DOE is currently obligated for costs up to approximately $5.8 million for the additional scope under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Costs under the HALEU Operation Contract include program costs, including direct labor and materials and associated indirect costs that are classified as Cost of Sales, and an allocation of corporate costs supporting the program that are classified as</w:t>
      </w:r>
      <w:r>
        <w:rPr>
          <w:color w:val="000000"/>
        </w:rPr>
        <w:t xml:space="preserve">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xml:space="preserve">. When estimates of program costs to be incurred for an integrated, construction-type contract exceed estimates of total revenue to be earned, a provision for the remaining loss on the contract is recorded to Cost of Sales in the period the loss is determined. The Company’s corporate costs supporting the program are recognized as expense as incurred over the duration of the contract term. The Company recorded an accrued loss of $21.3 million related to anticipated cost-share reimbursement under the HALEU Operation Contract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in December 2022. The accrued loss on the contract was adjusted over the contract term based on actual results and remaining program cost projections. At both March 31, 2024 and December 31, 2023, the remaining accrued contract loss balance was</w:t>
      </w:r>
      <w:r>
        <w:rPr>
          <w:color w:val="000000"/>
        </w:rPr>
        <w:t xml:space="preserve"> </w:t>
      </w:r>
      <w:r>
        <w:rPr>
          <w:rFonts w:ascii="Times New Roman;sans-serif" w:hAnsi="Times New Roman;sans-serif"/>
          <w:b w:val="false"/>
          <w:color w:val="000000"/>
          <w:sz w:val="22"/>
        </w:rPr>
        <w:t xml:space="preserve">$0. The impact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in the three months ended March 31, 2024 and 2023 was $0 and $5.5 million, respectively, for previously accrued contract losses attributable to work performed in those periods. The HALEU Operation Contract is funded incrementally, and the DOE currently is obligated for costs up to approximately $73.9 million of the $125.9 million estimated transaction price for Phase 1, Phase 2, and additional scope work. The Company has received aggregate cash payments under the HALEU Operation Contract of $55.2 million through March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Remaining Performance Obligations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remaining performance obligations represent the aggregate amount of total contract transaction price that is unsatisfied or partially unsatisfied. Performance obligations are recognized as revenue in future periods as work is performed or deliveries of SWU and uranium are made. The Company’s total remaining performance obligations were $1.0 billion as of both March 31, 2024 and December 31, 2023.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remaining performance obligations in the LEU segment primarily related to medium and long-term contracts with fixed commitments, were approximately $1.0 billion for each of March 31, 2024 and December 31, 2023, and extend to 2030. The remaining performance obligations represent the estimated aggregate dollar amount of revenue for future SWU and uranium deliveries and includes approximately $315 million of </w:t>
      </w:r>
      <w:r>
        <w:rPr>
          <w:rFonts w:ascii="Times New Roman;sans-serif" w:hAnsi="Times New Roman;sans-serif"/>
          <w:b w:val="false"/>
          <w:i/>
          <w:color w:val="000000"/>
          <w:sz w:val="22"/>
        </w:rPr>
        <w:t>Deferred Revenue and Advances from Customers</w:t>
      </w:r>
      <w:r>
        <w:rPr>
          <w:color w:val="000000"/>
        </w:rPr>
        <w:t xml:space="preserve"> </w:t>
      </w:r>
      <w:r>
        <w:rPr>
          <w:rFonts w:ascii="Times New Roman;sans-serif" w:hAnsi="Times New Roman;sans-serif"/>
          <w:b w:val="false"/>
          <w:color w:val="000000"/>
          <w:sz w:val="22"/>
        </w:rPr>
        <w:t>at both March 31, 2024 and December 31, 2023</w:t>
      </w:r>
      <w:r>
        <w:rPr>
          <w:rFonts w:ascii="Times New Roman;sans-serif" w:hAnsi="Times New Roman;sans-serif"/>
          <w:b w:val="false"/>
          <w:i/>
          <w:color w:val="000000"/>
          <w:sz w:val="22"/>
        </w:rPr>
        <w:t xml:space="preserve">. </w:t>
      </w:r>
      <w:r>
        <w:rPr>
          <w:rFonts w:ascii="Times New Roman;sans-serif" w:hAnsi="Times New Roman;sans-serif"/>
          <w:b w:val="false"/>
          <w:color w:val="0D0D0D"/>
          <w:sz w:val="22"/>
        </w:rPr>
        <w:t>T</w:t>
      </w:r>
      <w:r>
        <w:rPr>
          <w:rFonts w:ascii="Times New Roman;sans-serif" w:hAnsi="Times New Roman;sans-serif"/>
          <w:b w:val="false"/>
          <w:color w:val="000000"/>
          <w:sz w:val="22"/>
        </w:rPr>
        <w:t>he</w:t>
      </w:r>
      <w:r>
        <w:rPr>
          <w:color w:val="0D0D0D"/>
        </w:rPr>
        <w:t xml:space="preserve"> </w:t>
      </w:r>
      <w:r>
        <w:rPr>
          <w:rFonts w:ascii="Times New Roman;sans-serif" w:hAnsi="Times New Roman;sans-serif"/>
          <w:b w:val="false"/>
          <w:color w:val="0D0D0D"/>
          <w:sz w:val="22"/>
        </w:rPr>
        <w:t>remaining performance obligations are partially based on customer estimates of the timing and size of their fuel requirements and other assumptions that are subject to change. T</w:t>
      </w:r>
      <w:r>
        <w:rPr>
          <w:rFonts w:ascii="Times New Roman;sans-serif" w:hAnsi="Times New Roman;sans-serif"/>
          <w:b w:val="false"/>
          <w:color w:val="000000"/>
          <w:sz w:val="22"/>
        </w:rPr>
        <w:t xml:space="preserve">he </w:t>
      </w:r>
      <w:r>
        <w:rPr>
          <w:rFonts w:ascii="Times New Roman;sans-serif" w:hAnsi="Times New Roman;sans-serif"/>
          <w:b w:val="false"/>
          <w:color w:val="0D0D0D"/>
          <w:sz w:val="22"/>
        </w:rPr>
        <w:t>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sans-serif" w:hAnsi="Times New Roman;sans-serif"/>
          <w:b w:val="false"/>
          <w:color w:val="000000"/>
          <w:sz w:val="22"/>
        </w:rPr>
        <w:t>he Company</w:t>
      </w:r>
      <w:r>
        <w:rPr>
          <w:color w:val="0D0D0D"/>
        </w:rPr>
        <w:t xml:space="preserve"> </w:t>
      </w:r>
      <w:r>
        <w:rPr>
          <w:rFonts w:ascii="Times New Roman;sans-serif" w:hAnsi="Times New Roman;sans-serif"/>
          <w:b w:val="false"/>
          <w:color w:val="0D0D0D"/>
          <w:sz w:val="22"/>
        </w:rPr>
        <w:t>uses external composite forecasts of future market prices and inflation rates in its pricing estimates.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remaining performance obligations in the Technical Solutions segment were approximately $58 million and $77 million, as of March 31, 2024 and December 31, 2023, respectively, and extend to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3. CASH, CASH EQUIVALENTS AND RESTRICTED CASH</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Company’s cash, cash equivalents and restricted cash as presented on the Consolidated Balance Sheets to amounts on the Consolidated Statements of Cash Flows (in millions):</w:t>
      </w:r>
    </w:p>
    <w:tbl>
      <w:tblPr>
        <w:tblW w:w="7645" w:type="dxa"/>
        <w:jc w:val="center"/>
        <w:tblInd w:w="0" w:type="dxa"/>
        <w:tblLayout w:type="fixed"/>
        <w:tblCellMar>
          <w:top w:w="28" w:type="dxa"/>
          <w:left w:w="28" w:type="dxa"/>
          <w:bottom w:w="28" w:type="dxa"/>
          <w:right w:w="28" w:type="dxa"/>
        </w:tblCellMar>
      </w:tblPr>
      <w:tblGrid>
        <w:gridCol w:w="1488"/>
        <w:gridCol w:w="1307"/>
        <w:gridCol w:w="1314"/>
        <w:gridCol w:w="319"/>
        <w:gridCol w:w="956"/>
        <w:gridCol w:w="165"/>
        <w:gridCol w:w="109"/>
        <w:gridCol w:w="109"/>
        <w:gridCol w:w="109"/>
        <w:gridCol w:w="374"/>
        <w:gridCol w:w="1121"/>
        <w:gridCol w:w="27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 - current (a)</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 - noncurrent</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cash, cash equivalents and restricted cash</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241.9</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233.8</w:t>
            </w:r>
            <w:r>
              <w:rPr>
                <w:color w:val="000000"/>
              </w:rPr>
              <w:t>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 Deposits for financial assurance - current is included within </w:t>
      </w:r>
      <w:r>
        <w:rPr>
          <w:rFonts w:ascii="Times New Roman;sans-serif" w:hAnsi="Times New Roman;sans-serif"/>
          <w:b w:val="false"/>
          <w:i/>
          <w:color w:val="000000"/>
          <w:sz w:val="20"/>
        </w:rPr>
        <w:t>Other Current Assets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$4.9 million and $6.8 million denominated in euros as of March 31, 2024 and December 31, 2023, respectively, and recorded $0.1 million and $0 in transaction losses in the three months ended March 31, 2024 and March 31, 2023,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additional detail regarding the Company’s deposits for financial assurance (in millions):</w:t>
      </w:r>
    </w:p>
    <w:tbl>
      <w:tblPr>
        <w:tblW w:w="8130" w:type="dxa"/>
        <w:jc w:val="left"/>
        <w:tblInd w:w="0" w:type="dxa"/>
        <w:tblLayout w:type="fixed"/>
        <w:tblCellMar>
          <w:top w:w="28" w:type="dxa"/>
          <w:left w:w="28" w:type="dxa"/>
          <w:bottom w:w="28" w:type="dxa"/>
          <w:right w:w="28" w:type="dxa"/>
        </w:tblCellMar>
      </w:tblPr>
      <w:tblGrid>
        <w:gridCol w:w="1189"/>
        <w:gridCol w:w="1044"/>
        <w:gridCol w:w="1052"/>
        <w:gridCol w:w="211"/>
        <w:gridCol w:w="526"/>
        <w:gridCol w:w="109"/>
        <w:gridCol w:w="109"/>
        <w:gridCol w:w="109"/>
        <w:gridCol w:w="109"/>
        <w:gridCol w:w="273"/>
        <w:gridCol w:w="681"/>
        <w:gridCol w:w="142"/>
        <w:gridCol w:w="109"/>
        <w:gridCol w:w="109"/>
        <w:gridCol w:w="109"/>
        <w:gridCol w:w="222"/>
        <w:gridCol w:w="443"/>
        <w:gridCol w:w="116"/>
        <w:gridCol w:w="109"/>
        <w:gridCol w:w="109"/>
        <w:gridCol w:w="109"/>
        <w:gridCol w:w="270"/>
        <w:gridCol w:w="673"/>
        <w:gridCol w:w="198"/>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Collateral for Inventory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Workers Compensation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deposits for financial assurance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13.7</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32.4</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March, May, and October 2022, the Company entered into three inventory loans that each required a cash deposit into an escrow fund. See Note 4</w:t>
      </w:r>
      <w:r>
        <w:rPr>
          <w:rFonts w:ascii="Times New Roman;sans-serif" w:hAnsi="Times New Roman;sans-serif"/>
          <w:b w:val="false"/>
          <w:i/>
          <w:color w:val="000000"/>
          <w:sz w:val="22"/>
        </w:rPr>
        <w:t xml:space="preserve">, Inventories, </w:t>
      </w:r>
      <w:r>
        <w:rPr>
          <w:rFonts w:ascii="Times New Roman;sans-serif" w:hAnsi="Times New Roman;sans-serif"/>
          <w:b w:val="false"/>
          <w:color w:val="000000"/>
          <w:sz w:val="22"/>
        </w:rPr>
        <w:t>of this Quarterly Report on Form 10-Q</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The Company has provided financial assurance to states in which it was previously self-insured for workers’ compensation in accordance with each state’s requirements in the form of a surety bond or deposit that is fully cash collateralized by Centrus. Each surety bond or deposit is subject to reduction and/or cancellation, as each state determines the likely reduction of workers’ compensation obligations pertaining to the period of self-insurance.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4. INVENTORIES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Components of inventories are as follows (in millions):</w: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652"/>
        <w:gridCol w:w="574"/>
        <w:gridCol w:w="576"/>
        <w:gridCol w:w="211"/>
        <w:gridCol w:w="631"/>
        <w:gridCol w:w="109"/>
        <w:gridCol w:w="109"/>
        <w:gridCol w:w="109"/>
        <w:gridCol w:w="109"/>
        <w:gridCol w:w="253"/>
        <w:gridCol w:w="630"/>
        <w:gridCol w:w="131"/>
        <w:gridCol w:w="109"/>
        <w:gridCol w:w="109"/>
        <w:gridCol w:w="109"/>
        <w:gridCol w:w="313"/>
        <w:gridCol w:w="937"/>
        <w:gridCol w:w="163"/>
        <w:gridCol w:w="109"/>
        <w:gridCol w:w="109"/>
        <w:gridCol w:w="109"/>
        <w:gridCol w:w="211"/>
        <w:gridCol w:w="631"/>
        <w:gridCol w:w="109"/>
        <w:gridCol w:w="109"/>
        <w:gridCol w:w="109"/>
        <w:gridCol w:w="109"/>
        <w:gridCol w:w="243"/>
        <w:gridCol w:w="606"/>
        <w:gridCol w:w="127"/>
        <w:gridCol w:w="109"/>
        <w:gridCol w:w="109"/>
        <w:gridCol w:w="109"/>
        <w:gridCol w:w="307"/>
        <w:gridCol w:w="923"/>
        <w:gridCol w:w="233"/>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 xml:space="preserve">Liabilities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Inventories,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br/>
              <w:t>Liabilities</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Inventories, Net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21.6</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257.6</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84.3</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222.1</w:t>
            </w: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(a)This includes inventories owed to suppliers for advances of uranium. </w:t>
      </w:r>
    </w:p>
    <w:p>
      <w:pPr>
        <w:pStyle w:val="TextBody"/>
        <w:bidi w:val="0"/>
        <w:spacing w:before="0" w:after="6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Inventories are valued at the lower of cost or net realizable value.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Company also may borrow SWU or uranium from customers or suppliers, in which case the Company will record the SWU and/or uranium and the related liability for the borrowing using a projected and forecasted purchase price over the borrowing period. In March 2023, the Company borrowed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which was recorded to inventory at a value of $22.5 million, based on the estimated fair market value of the inventory on the date of borrowing.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Company performs quarterly revaluations of the</w:t>
      </w:r>
      <w:r>
        <w:rPr>
          <w:color w:val="000000"/>
        </w:rPr>
        <w:t xml:space="preserve"> </w:t>
      </w:r>
      <w:r>
        <w:rPr>
          <w:rFonts w:ascii="Times New Roman;sans-serif" w:hAnsi="Times New Roman;sans-serif"/>
          <w:b w:val="false"/>
          <w:i/>
          <w:color w:val="000000"/>
          <w:sz w:val="22"/>
        </w:rPr>
        <w:t xml:space="preserve">Long-Term Inventory Loans </w:t>
      </w:r>
      <w:r>
        <w:rPr>
          <w:rFonts w:ascii="Times New Roman;sans-serif" w:hAnsi="Times New Roman;sans-serif"/>
          <w:b w:val="false"/>
          <w:color w:val="000000"/>
          <w:sz w:val="22"/>
        </w:rPr>
        <w:t xml:space="preserve">reflecting an updated projection of the timing and sources of inventory to be used for repayment. These revaluations were recorded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and resulted in an increase to the related liability of $0.3 million and $2.1 million, for the three months ended March 31, 2024 and 2023, respectively.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5. INTANGIBLE ASSETS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 originated from the Company’s reorganization and application of fresh start accounting as of the date the Company emerged from bankruptcy, September 30, 2014, and reflect the conditions at that time.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 Amortization expense is presented below gross profit on the Consolidated Statements of Operations and Comprehensive Income. Intangible asset balances are as follows (in millions):</w:t>
      </w:r>
    </w:p>
    <w:tbl>
      <w:tblPr>
        <w:tblW w:w="10205" w:type="dxa"/>
        <w:jc w:val="center"/>
        <w:tblInd w:w="0" w:type="dxa"/>
        <w:tblLayout w:type="fixed"/>
        <w:tblCellMar>
          <w:top w:w="28" w:type="dxa"/>
          <w:left w:w="28" w:type="dxa"/>
          <w:bottom w:w="28" w:type="dxa"/>
          <w:right w:w="28" w:type="dxa"/>
        </w:tblCellMar>
      </w:tblPr>
      <w:tblGrid>
        <w:gridCol w:w="486"/>
        <w:gridCol w:w="426"/>
        <w:gridCol w:w="430"/>
        <w:gridCol w:w="266"/>
        <w:gridCol w:w="798"/>
        <w:gridCol w:w="137"/>
        <w:gridCol w:w="109"/>
        <w:gridCol w:w="109"/>
        <w:gridCol w:w="109"/>
        <w:gridCol w:w="369"/>
        <w:gridCol w:w="923"/>
        <w:gridCol w:w="193"/>
        <w:gridCol w:w="109"/>
        <w:gridCol w:w="109"/>
        <w:gridCol w:w="109"/>
        <w:gridCol w:w="224"/>
        <w:gridCol w:w="560"/>
        <w:gridCol w:w="116"/>
        <w:gridCol w:w="109"/>
        <w:gridCol w:w="109"/>
        <w:gridCol w:w="109"/>
        <w:gridCol w:w="266"/>
        <w:gridCol w:w="798"/>
        <w:gridCol w:w="137"/>
        <w:gridCol w:w="109"/>
        <w:gridCol w:w="109"/>
        <w:gridCol w:w="109"/>
        <w:gridCol w:w="369"/>
        <w:gridCol w:w="923"/>
        <w:gridCol w:w="193"/>
        <w:gridCol w:w="109"/>
        <w:gridCol w:w="109"/>
        <w:gridCol w:w="109"/>
        <w:gridCol w:w="223"/>
        <w:gridCol w:w="558"/>
        <w:gridCol w:w="175"/>
      </w:tblGrid>
      <w:tr>
        <w:trPr/>
        <w:tc>
          <w:tcPr>
            <w:tcW w:w="4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Amount</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Backlog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85.2</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38.3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84.1</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39.4</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6. DEBT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debt is as follows (in millions):</w:t>
      </w:r>
    </w:p>
    <w:tbl>
      <w:tblPr>
        <w:tblW w:w="7266" w:type="dxa"/>
        <w:jc w:val="center"/>
        <w:tblInd w:w="0" w:type="dxa"/>
        <w:tblLayout w:type="fixed"/>
        <w:tblCellMar>
          <w:top w:w="28" w:type="dxa"/>
          <w:left w:w="28" w:type="dxa"/>
          <w:bottom w:w="28" w:type="dxa"/>
          <w:right w:w="28" w:type="dxa"/>
        </w:tblCellMar>
      </w:tblPr>
      <w:tblGrid>
        <w:gridCol w:w="451"/>
        <w:gridCol w:w="396"/>
        <w:gridCol w:w="398"/>
        <w:gridCol w:w="304"/>
        <w:gridCol w:w="304"/>
        <w:gridCol w:w="306"/>
        <w:gridCol w:w="109"/>
        <w:gridCol w:w="109"/>
        <w:gridCol w:w="109"/>
        <w:gridCol w:w="222"/>
        <w:gridCol w:w="443"/>
        <w:gridCol w:w="116"/>
        <w:gridCol w:w="109"/>
        <w:gridCol w:w="109"/>
        <w:gridCol w:w="109"/>
        <w:gridCol w:w="273"/>
        <w:gridCol w:w="681"/>
        <w:gridCol w:w="142"/>
        <w:gridCol w:w="109"/>
        <w:gridCol w:w="109"/>
        <w:gridCol w:w="109"/>
        <w:gridCol w:w="222"/>
        <w:gridCol w:w="443"/>
        <w:gridCol w:w="116"/>
        <w:gridCol w:w="109"/>
        <w:gridCol w:w="109"/>
        <w:gridCol w:w="109"/>
        <w:gridCol w:w="270"/>
        <w:gridCol w:w="673"/>
        <w:gridCol w:w="198"/>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Long-Term</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8.25% Notes:</w:t>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Feb.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Total</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86.5</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89.6</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Interest on the Company’s 8.25% Notes is payable semi-annually in arrears as of February 28 and August 31 based on a 360-day year consisting of twelve 30-day months. The 8.25% Notes were issued in connection with a troubled debt restructuring; therefore, all future interest payment obligations on the 8.25% Notes are included in the carrying value of the 8.25% Notes. As a result, interest payments are reported as a reduction in the carrying value of the 8.25% Notes and not as interest expense. As of March 31, 2024 and December 31, 2023, $6.1 million of interest was recorded as current and classified as </w:t>
      </w:r>
      <w:r>
        <w:rPr>
          <w:rFonts w:ascii="Times New Roman;sans-serif" w:hAnsi="Times New Roman;sans-serif"/>
          <w:b w:val="false"/>
          <w:i/>
          <w:color w:val="000000"/>
          <w:sz w:val="22"/>
        </w:rPr>
        <w:t xml:space="preserve">Current Debt </w:t>
      </w:r>
      <w:r>
        <w:rPr>
          <w:rFonts w:ascii="Times New Roman;sans-serif" w:hAnsi="Times New Roman;sans-serif"/>
          <w:b w:val="false"/>
          <w:color w:val="000000"/>
          <w:sz w:val="22"/>
        </w:rPr>
        <w:t>in the Consolidated Balance Sheets. Additional terms and conditions of the 8.25% Notes are described in Note 8</w:t>
      </w:r>
      <w:r>
        <w:rPr>
          <w:rFonts w:ascii="Times New Roman;sans-serif" w:hAnsi="Times New Roman;sans-serif"/>
          <w:b w:val="false"/>
          <w:i/>
          <w:color w:val="000000"/>
          <w:sz w:val="22"/>
        </w:rPr>
        <w:t>, Debt</w:t>
      </w:r>
      <w:r>
        <w:rPr>
          <w:rFonts w:ascii="Times New Roman;sans-serif" w:hAnsi="Times New Roman;sans-serif"/>
          <w:b w:val="false"/>
          <w:color w:val="000000"/>
          <w:sz w:val="22"/>
        </w:rPr>
        <w:t xml:space="preserve">, of the Consolidated Financial Statements in the Company’s Annual Report on Form 10-K for the year ended December 31, 2023.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7. FAIR VALUE</w: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 </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2"/>
        </w:rPr>
        <w:t>Level 1 assets include investments with quoted prices in active markets that the Company has the ability to liquidate as of the reporting date.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2"/>
        </w:rPr>
        <w:t>Level 2 assets include investments in U.S. government agency securities, corporate and municipal debt whose estimates are valued based on observable inputs, other than quoted prices.</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2"/>
        </w:rPr>
        <w:t xml:space="preserve">Level 3 assets include investments with unobservable inputs, such as third-party valuations, due to little or no market activity. </w:t>
      </w:r>
    </w:p>
    <w:p>
      <w:pPr>
        <w:pStyle w:val="TextBody"/>
        <w:bidi w:val="0"/>
        <w:spacing w:before="0" w:after="0"/>
        <w:ind w:left="0" w:right="0" w:firstLine="9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Financial Instruments Recorded at Fair Value (in millions):</w:t>
      </w:r>
    </w:p>
    <w:tbl>
      <w:tblPr>
        <w:tblW w:w="10273" w:type="dxa"/>
        <w:jc w:val="left"/>
        <w:tblInd w:w="0" w:type="dxa"/>
        <w:tblLayout w:type="fixed"/>
        <w:tblCellMar>
          <w:top w:w="28" w:type="dxa"/>
          <w:left w:w="28" w:type="dxa"/>
          <w:bottom w:w="28" w:type="dxa"/>
          <w:right w:w="28" w:type="dxa"/>
        </w:tblCellMar>
      </w:tblPr>
      <w:tblGrid>
        <w:gridCol w:w="580"/>
        <w:gridCol w:w="339"/>
        <w:gridCol w:w="342"/>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compensation asset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compensation obligation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transfers between Level 1, 2 or 3 during the periods presented.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Financial Instruments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As of March 31, 2024, and December 31, 2023, the Consolidated Balance Sheets carrying amounts for </w:t>
      </w:r>
      <w:r>
        <w:rPr>
          <w:rFonts w:ascii="Times New Roman;sans-serif" w:hAnsi="Times New Roman;sans-serif"/>
          <w:b w:val="false"/>
          <w:i/>
          <w:color w:val="000000"/>
          <w:sz w:val="22"/>
        </w:rPr>
        <w:t>Accounts Receivable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Accounts Payable and Accrued Liabilities</w:t>
      </w:r>
      <w:r>
        <w:rPr>
          <w:color w:val="000000"/>
        </w:rPr>
        <w:t xml:space="preserve"> </w:t>
      </w:r>
      <w:r>
        <w:rPr>
          <w:rFonts w:ascii="Times New Roman;sans-serif" w:hAnsi="Times New Roman;sans-serif"/>
          <w:b w:val="false"/>
          <w:color w:val="000000"/>
          <w:sz w:val="22"/>
        </w:rPr>
        <w:t xml:space="preserve">(excluding the deferred compensation obligation described above), and </w:t>
      </w:r>
      <w:r>
        <w:rPr>
          <w:rFonts w:ascii="Times New Roman;sans-serif" w:hAnsi="Times New Roman;sans-serif"/>
          <w:b w:val="false"/>
          <w:i/>
          <w:color w:val="000000"/>
          <w:sz w:val="22"/>
        </w:rPr>
        <w:t>Payables under Inventory Purchase Agreements</w:t>
      </w:r>
      <w:r>
        <w:rPr>
          <w:color w:val="000000"/>
        </w:rPr>
        <w:t xml:space="preserve"> </w:t>
      </w:r>
      <w:r>
        <w:rPr>
          <w:rFonts w:ascii="Times New Roman;sans-serif" w:hAnsi="Times New Roman;sans-serif"/>
          <w:b w:val="false"/>
          <w:color w:val="000000"/>
          <w:sz w:val="22"/>
        </w:rPr>
        <w:t>approximate fair value because of their short-term nature.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and estimated fair value of long-term debt were as follows (in millions):</w:t>
      </w:r>
    </w:p>
    <w:tbl>
      <w:tblPr>
        <w:tblW w:w="9289" w:type="dxa"/>
        <w:jc w:val="center"/>
        <w:tblInd w:w="0" w:type="dxa"/>
        <w:tblLayout w:type="fixed"/>
        <w:tblCellMar>
          <w:top w:w="28" w:type="dxa"/>
          <w:left w:w="28" w:type="dxa"/>
          <w:bottom w:w="28" w:type="dxa"/>
          <w:right w:w="28" w:type="dxa"/>
        </w:tblCellMar>
      </w:tblPr>
      <w:tblGrid>
        <w:gridCol w:w="418"/>
        <w:gridCol w:w="366"/>
        <w:gridCol w:w="370"/>
        <w:gridCol w:w="364"/>
        <w:gridCol w:w="886"/>
        <w:gridCol w:w="190"/>
        <w:gridCol w:w="109"/>
        <w:gridCol w:w="109"/>
        <w:gridCol w:w="109"/>
        <w:gridCol w:w="537"/>
        <w:gridCol w:w="1299"/>
        <w:gridCol w:w="279"/>
        <w:gridCol w:w="109"/>
        <w:gridCol w:w="109"/>
        <w:gridCol w:w="109"/>
        <w:gridCol w:w="364"/>
        <w:gridCol w:w="886"/>
        <w:gridCol w:w="190"/>
        <w:gridCol w:w="109"/>
        <w:gridCol w:w="109"/>
        <w:gridCol w:w="109"/>
        <w:gridCol w:w="519"/>
        <w:gridCol w:w="1258"/>
        <w:gridCol w:w="382"/>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 xml:space="preserve">Estimated Fair Value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 xml:space="preserve">Estimated Fair Value </w:t>
            </w:r>
            <w:r>
              <w:rPr>
                <w:rFonts w:ascii="Times New Roman;sans-serif" w:hAnsi="Times New Roman;sans-serif"/>
                <w:b/>
                <w:color w:val="000000"/>
                <w:sz w:val="12"/>
              </w:rPr>
              <w:t>(a)</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8.25% Notes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(b)</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(b)</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Based on bid/ask quotes as of or near the balance sheet date, which are considered Level 2 inputs.</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(b)    </w:t>
      </w:r>
      <w:r>
        <w:rPr>
          <w:rFonts w:ascii="Times New Roman;sans-serif" w:hAnsi="Times New Roman;sans-serif"/>
          <w:b w:val="false"/>
          <w:color w:val="000000"/>
          <w:sz w:val="20"/>
        </w:rPr>
        <w:t>The carrying value of the 8.25% Notes consists of the principal balance of $74.3 million and the sum of current and noncurrent interest payment obligations until maturity. Refer to Note 6</w:t>
      </w:r>
      <w:r>
        <w:rPr>
          <w:rFonts w:ascii="Times New Roman;sans-serif" w:hAnsi="Times New Roman;sans-serif"/>
          <w:b w:val="false"/>
          <w:i/>
          <w:color w:val="000000"/>
          <w:sz w:val="20"/>
        </w:rPr>
        <w:t>, Debt,</w:t>
      </w:r>
      <w:r>
        <w:rPr>
          <w:color w:val="000000"/>
        </w:rPr>
        <w:t xml:space="preserve"> </w:t>
      </w:r>
      <w:r>
        <w:rPr>
          <w:rFonts w:ascii="Times New Roman;sans-serif" w:hAnsi="Times New Roman;sans-serif"/>
          <w:b w:val="false"/>
          <w:color w:val="000000"/>
          <w:sz w:val="20"/>
        </w:rPr>
        <w:t xml:space="preserve">of this Quarterly Report on Form 10-Q. </w:t>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8. PENSION AND POSTRETIREMENT HEALTH AND LIFE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provides retirement benefits to certain employees and retirees under two qualified defined benefit pension plans, one postretirement health and life benefit plan and two disqualified plans.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net periodic benefit costs (credits) for the defined benefit pension plans were as follows (in millions):</w:t>
      </w:r>
    </w:p>
    <w:tbl>
      <w:tblPr>
        <w:tblW w:w="6370" w:type="dxa"/>
        <w:jc w:val="center"/>
        <w:tblInd w:w="0" w:type="dxa"/>
        <w:tblLayout w:type="fixed"/>
        <w:tblCellMar>
          <w:top w:w="28" w:type="dxa"/>
          <w:left w:w="28" w:type="dxa"/>
          <w:bottom w:w="28" w:type="dxa"/>
          <w:right w:w="28" w:type="dxa"/>
        </w:tblCellMar>
      </w:tblPr>
      <w:tblGrid>
        <w:gridCol w:w="1431"/>
        <w:gridCol w:w="1256"/>
        <w:gridCol w:w="1273"/>
        <w:gridCol w:w="211"/>
        <w:gridCol w:w="481"/>
        <w:gridCol w:w="109"/>
        <w:gridCol w:w="109"/>
        <w:gridCol w:w="109"/>
        <w:gridCol w:w="109"/>
        <w:gridCol w:w="211"/>
        <w:gridCol w:w="481"/>
        <w:gridCol w:w="109"/>
        <w:gridCol w:w="109"/>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prior service costs (credits),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return on plan assets (gains)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periodic benefit costs (credits)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net periodic benefit costs for the postretirement health and life benefit plan were as follows (in millions):</w:t>
      </w:r>
    </w:p>
    <w:tbl>
      <w:tblPr>
        <w:tblW w:w="4617" w:type="dxa"/>
        <w:jc w:val="center"/>
        <w:tblInd w:w="0" w:type="dxa"/>
        <w:tblLayout w:type="fixed"/>
        <w:tblCellMar>
          <w:top w:w="28" w:type="dxa"/>
          <w:left w:w="28" w:type="dxa"/>
          <w:bottom w:w="28" w:type="dxa"/>
          <w:right w:w="28" w:type="dxa"/>
        </w:tblCellMar>
      </w:tblPr>
      <w:tblGrid>
        <w:gridCol w:w="803"/>
        <w:gridCol w:w="704"/>
        <w:gridCol w:w="712"/>
        <w:gridCol w:w="224"/>
        <w:gridCol w:w="447"/>
        <w:gridCol w:w="115"/>
        <w:gridCol w:w="115"/>
        <w:gridCol w:w="115"/>
        <w:gridCol w:w="115"/>
        <w:gridCol w:w="224"/>
        <w:gridCol w:w="447"/>
        <w:gridCol w:w="115"/>
        <w:gridCol w:w="109"/>
        <w:gridCol w:w="109"/>
        <w:gridCol w:w="109"/>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periodic benefit costs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270"/>
        <w:jc w:val="center"/>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reports service costs for its defined benefit pension plans and its postretirement health and life benefit plans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xml:space="preserve">. The remaining components of net periodic benefit (credits) costs are reported as </w:t>
      </w:r>
      <w:r>
        <w:rPr>
          <w:rFonts w:ascii="Times New Roman;sans-serif" w:hAnsi="Times New Roman;sans-serif"/>
          <w:b w:val="false"/>
          <w:i/>
          <w:color w:val="000000"/>
          <w:sz w:val="22"/>
        </w:rPr>
        <w:t>Nonoperating Components of Net Periodic Benefit Loss (Income).</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9. NET INCOME (LOSS) PER SHARE</w:t>
      </w:r>
    </w:p>
    <w:p>
      <w:pPr>
        <w:pStyle w:val="TextBody"/>
        <w:bidi w:val="0"/>
        <w:spacing w:before="0" w:after="0"/>
        <w:jc w:val="left"/>
        <w:rPr/>
      </w:pPr>
      <w:r>
        <w:rPr/>
      </w:r>
    </w:p>
    <w:p>
      <w:pPr>
        <w:pStyle w:val="TextBody"/>
        <w:bidi w:val="0"/>
        <w:spacing w:lineRule="auto" w:line="288" w:before="0" w:after="20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Basic net income (loss) per share is calculated by dividing net income (loss) by the weighted average number of shares of common stock outstanding during the period. In calculating diluted net income (loss) per share, the number of shares is increased by the weighted average number of potential common shares related to stock compensation awards including restricted stock, stock options, stock appreciation rights and notional stock units, and the Warrant. No dilutive effect is recognized in a period in which a net loss has occurred. </w:t>
      </w:r>
    </w:p>
    <w:p>
      <w:pPr>
        <w:pStyle w:val="TextBody"/>
        <w:bidi w:val="0"/>
        <w:spacing w:lineRule="auto" w:line="288" w:before="0" w:after="20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weighted average number of common and common equivalent shares used in the calculation of basic and diluted net income (loss) per share are as follows:</w:t>
      </w:r>
    </w:p>
    <w:tbl>
      <w:tblPr>
        <w:tblW w:w="10205" w:type="dxa"/>
        <w:jc w:val="center"/>
        <w:tblInd w:w="0" w:type="dxa"/>
        <w:tblLayout w:type="fixed"/>
        <w:tblCellMar>
          <w:top w:w="28" w:type="dxa"/>
          <w:left w:w="28" w:type="dxa"/>
          <w:bottom w:w="28" w:type="dxa"/>
          <w:right w:w="28" w:type="dxa"/>
        </w:tblCellMar>
      </w:tblPr>
      <w:tblGrid>
        <w:gridCol w:w="2811"/>
        <w:gridCol w:w="2418"/>
        <w:gridCol w:w="2432"/>
        <w:gridCol w:w="211"/>
        <w:gridCol w:w="569"/>
        <w:gridCol w:w="109"/>
        <w:gridCol w:w="109"/>
        <w:gridCol w:w="109"/>
        <w:gridCol w:w="109"/>
        <w:gridCol w:w="215"/>
        <w:gridCol w:w="521"/>
        <w:gridCol w:w="109"/>
        <w:gridCol w:w="109"/>
        <w:gridCol w:w="109"/>
        <w:gridCol w:w="109"/>
        <w:gridCol w:w="156"/>
      </w:tblGrid>
      <w:tr>
        <w:trPr/>
        <w:tc>
          <w:tcPr>
            <w:tcW w:w="28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Numerator (in millions):</w:t>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Denominator (in thousands):</w:t>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Average common shares outstanding - basic</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Potentially dilutive shares related to stock compensation awards and warrant</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Average common shares outstanding - diluted</w:t>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15,906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15,241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(loss) per share (in dollars):</w:t>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equivalents excluded from the diluted calculation because they would have been antidilutive (in thousands)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10. STOCKHOLDERS’ EQUITY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Shelf Registration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filed a shelf registration statement on Form S-3 (Registration Statement No. 333-272984) with the SEC on June 28, 2023, which became effective on July 10, 2023. Pursuant to this shelf registration statement, the Company may offer and sell up to $200 million in securities, in aggregate. The Company retains broad discretion over the use of the net proceeds from the sale of the securities offered. Unless otherwise specified in any prospectus supplement, we currently intend to use the net proceeds from the sale of our securities offered under this prospectus for working capital and general corporate purposes including, but not limited to, capital expenditures, repayment of indebtedness, potential acquisitions and other business opportunities. Pending any specific application, we may initially invest funds in short-term marketable securities or apply them to the reduction of indebtedness.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February 9, 2024, the Company entered into an At Market Issuance Sales Agreement with B. Riley Securities, Inc., Lake Street Capital Markets, LLC and Roth Capital Partners, LLC (the “Agents”), relating to the ATM offering of shares of the Company’s Class A Common Stock. Pursuant to this sales agreement, the Company sold an aggregate of 176,628 shares of its Class A Common Stock at the market price in the three months ended March 31, 2024, for a total of $7.4 million. After expenses and commissions paid to the agents, the Company’s proceeds totaled $7.1 million. Additionally, the Company recorded direct costs of less than $0.1 million related to the issuance. The shares of Class A Common Stock were issued pursuant to the Company’s shelf registration statement on Form S-3 (File No. 333-272984), which became effective on July 10, 2023, and a prospectus supplement dated February 9, 2024. The Company has used and/or intends to use the net proceeds from this offering for working capital and general corporate purposes including, but not limited to, capital expenditures, working capital, repayment of indebtedness, potential acquisitions and other business opportunities. Pending any specific application, we may initially invest funds in short-term marketable securities or apply them to the reduction of indebtedness.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a separate sales agreement with its agents, the Company sold, through its ATM offering at the market price, an aggregate of 722,568 shares of its Class A Common Stock in the three months ended March 31, 2023, for a total of $24.4 million. After expenses and commissions paid to the agents, the Company’s proceeds totaled $23.4 million. Additionally, the Company recorded direct costs of $0.2 million related to the issuance. The shares of Class A Common Stock were issued pursuant to the Company’s shelf registration statement on Form S-3 (File No. 333-239242), which became effective on August 5, 2020, and two prospectus supplements dated December 31, 2020 and December 5, 2022, respectively. The Company has used and/or intends to use the net proceeds from this offering for working capital and general corporate purposes including, but not limited to, capital expenditures, investment in technology development and deployment, repayment of indebtedness, potential acquisitions and other business opportunities.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Rights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20, 2023, the Company entered into a Fifth Amendment to the Rights Agreement, which amends the Rights Agreement, dated as of April 6, 2016, by and among the Company, and Computershare Trust Company, N.A. and Computershare Inc., as rights agent, as amended by (i) the First Amendment to the Rights Agreement dated as of February 14, 2017, (ii) the Second Amendment to the Rights Agreement dated as of April 3, 2019, (iii) the Third Amendment to the Rights Agreement dated as of April 13, 2020, and (iv) the Fourth Amendment to the Rights Agreement dated as of June 16, 2021.</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to the Rights Agreement (i) increases the purchase price for each one one-thousandth (1/1000th) of a share of the Company’s Series A Participating Cumulative Preferred Stock, par value $1.00 per share, from $18.00 to $160.38; and (ii) extends the Final Expiration Date (as defined in the Rights Agreement) from June 30, 2023 to June 30,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Awards under Executive Incentive Plan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Notional stock units are a component of the 2019 Executive Incentive Plan for participating executives. In April 2020, notional stock units and SARs were granted to participating executives with a vesting period ending in April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March 2022, 2023 and 2024 restricted stock units were granted to participating executives with a vesting period ending in March 2025, 2026 and 2027, respectively. The restricted stock unit awards are time based and payable in shares of the Company’s Class A Common Stock subject to achieving a threshold level of cumulative net income over the vesting period. The grant-date fair value is included in </w:t>
      </w:r>
      <w:r>
        <w:rPr>
          <w:rFonts w:ascii="Times New Roman;sans-serif" w:hAnsi="Times New Roman;sans-serif"/>
          <w:b w:val="false"/>
          <w:i/>
          <w:color w:val="000000"/>
          <w:sz w:val="22"/>
        </w:rPr>
        <w:t>Excess of Capital Over Par Value</w:t>
      </w:r>
      <w:r>
        <w:rPr>
          <w:color w:val="000000"/>
        </w:rPr>
        <w:t xml:space="preserve"> </w:t>
      </w:r>
      <w:r>
        <w:rPr>
          <w:rFonts w:ascii="Times New Roman;sans-serif" w:hAnsi="Times New Roman;sans-serif"/>
          <w:b w:val="false"/>
          <w:color w:val="000000"/>
          <w:sz w:val="22"/>
        </w:rPr>
        <w:t>as the value is amortized over the vesting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plan payouts for the 2020-2022 performance period were settled in Class A Common Stock in March and April 2023. In the first quarter of 2023, the Company withheld $1.9 million of shares that vested during the period for to fund the grantees’ tax withholding obligations under the terms of the stock-based compensation plan.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plan payouts for the 2021-2023 performance period were settled in Class A Common Stock in March 2024.</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11. COMMITMENTS AND CONTINGENCIES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Commitments under SWU Purchase Agreements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TENEX</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TENEX Supply Contract originally was signed with commitments through 2022, but was modified in 2015 to give the Company the right to reschedule certain quantities of SWU of the original commitments into the period 2023 and beyond, in return for the purchase of additional SWU in those years. The Company has exercised this right to reschedule in each year through December 31, 2023. As a result of exercising this right to reschedule, the Company has purchase commitments that could extend through 2028.</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TENEX Supply Contract provides that the Company must pay for all SWU in its minimum purchase obligation each year, even if it fails to submit orders for such SWU. In such a case, the Company would pay for the SWU, but have to take the unordered SWU in the following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Pricing terms for SWU under the TENEX Supply Contract are based on a combination of market-related price points and other factors. This formula was subject to an adjustment at the end of 2018 that reduced the unit costs of SWU under this contract in 2019 and for the duration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Orano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2018, the Company entered into the Orano Supply Agreement with a French company, Orano Cycle, for the long-term supply of SWU contained in LEU. The Orano Supply Agreement subsequently was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Milestones Under the 2002 DOE-USEC Agreement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predecessor, USEC Inc., and DOE signed the 2002 DOE-USEC Agreement dated June 17, 2002, pursuant to which the parties made long-term commitments directed at resolving issues related to the stability and security of the domestic uranium enrichment industry. The 2002 DOE-USEC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2002 DOE-USEC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2002 DOE-USEC Agreement provides that if a delaying event beyond the control and without the fault or negligence of Centrus occurs that could affect Centrus’ ability to meet the American Centrifuge Plant milestones under the 2002 DOE-USEC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Legal Matters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From time to time, the Company is involved in various pending legal proceedings, including the pending legal proceedings described below.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1993, USEC-Government entered into a lease for the Paducah and Portsmouth GDPs with the DOE. As part of that lease, DOE and USEC-Government also entered into a Power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the DOE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4"/>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March 8, 2023, the Company, Enrichment Corp., and six other DOE contractors that operated facilities at the Portsmouth GDP were named as defendants in a complaint filed by Christian Rose in the U.S. District Court in the Southern District of Ohio, Eastern Division (“Rose Complaint”). Christian Rose was diagnosed with cancer in June 2022. Although Mr. Rose is an adult, he attended the Zahn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27, 2023, the Company, Enrichment Corp. and six other DOE contractors who operated facilities at the Portsmouth GDP were named as defendants in a complaint filed by Joshua Shaw in the U.S. District Court in the Southern District of Ohio, Eastern Division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12. SEGMENT INFORMATION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Gross profit is the Company’s measure for segment reporting. There were no intersegment sales in the periods presented. Refer to Note 2</w:t>
      </w:r>
      <w:r>
        <w:rPr>
          <w:rFonts w:ascii="Times New Roman;sans-serif" w:hAnsi="Times New Roman;sans-serif"/>
          <w:b w:val="false"/>
          <w:i/>
          <w:color w:val="000000"/>
          <w:sz w:val="22"/>
        </w:rPr>
        <w:t>, Revenue and Contracts with Customers,</w:t>
      </w:r>
      <w:r>
        <w:rPr>
          <w:color w:val="000000"/>
        </w:rPr>
        <w:t xml:space="preserve"> </w:t>
      </w:r>
      <w:r>
        <w:rPr>
          <w:rFonts w:ascii="Times New Roman;sans-serif" w:hAnsi="Times New Roman;sans-serif"/>
          <w:b w:val="false"/>
          <w:color w:val="000000"/>
          <w:sz w:val="22"/>
        </w:rPr>
        <w:t>of this Quarterly Report on Form 10-Q for additional details on revenue for each segment. The following table presents the Company’s segment information (in millions):</w:t>
      </w:r>
    </w:p>
    <w:p>
      <w:pPr>
        <w:pStyle w:val="TextBody"/>
        <w:bidi w:val="0"/>
        <w:spacing w:before="0" w:after="0"/>
        <w:jc w:val="left"/>
        <w:rPr/>
      </w:pPr>
      <w:r>
        <w:rPr/>
      </w:r>
    </w:p>
    <w:tbl>
      <w:tblPr>
        <w:tblW w:w="4975" w:type="dxa"/>
        <w:jc w:val="center"/>
        <w:tblInd w:w="0" w:type="dxa"/>
        <w:tblLayout w:type="fixed"/>
        <w:tblCellMar>
          <w:top w:w="28" w:type="dxa"/>
          <w:left w:w="28" w:type="dxa"/>
          <w:bottom w:w="28" w:type="dxa"/>
          <w:right w:w="28" w:type="dxa"/>
        </w:tblCellMar>
      </w:tblPr>
      <w:tblGrid>
        <w:gridCol w:w="895"/>
        <w:gridCol w:w="788"/>
        <w:gridCol w:w="792"/>
        <w:gridCol w:w="211"/>
        <w:gridCol w:w="526"/>
        <w:gridCol w:w="109"/>
        <w:gridCol w:w="109"/>
        <w:gridCol w:w="109"/>
        <w:gridCol w:w="109"/>
        <w:gridCol w:w="211"/>
        <w:gridCol w:w="526"/>
        <w:gridCol w:w="109"/>
        <w:gridCol w:w="109"/>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Revenue</w:t>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LEU segment:</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Separative work units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 segment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Segment Gross Profit</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LEU segment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Technical Solutions segment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Revenue from Major Customers (10% or More of Total 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three months ended March 31, 2024, one customer in the LEU segment individually represented $18.9 million of revenue and one customer in the Technical Solutions segment individually represented $19.8 million of revenue.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three months ended March 31, 2023, two customers in the LEU segment individually represented $41.6 million and $8.4 million of revenue and one customer in the Technical Solutions segment individually represented $8.0 million revenue.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2. </w:t>
      </w:r>
      <w:r>
        <w:rPr>
          <w:rFonts w:ascii="Times New Roman;sans-serif" w:hAnsi="Times New Roman;sans-serif"/>
          <w:b/>
          <w:i/>
          <w:color w:val="000000"/>
          <w:sz w:val="22"/>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should be read in conjunction with, and is qualified in its entirety by reference to, the unaudited Consolidated Financial Statements and related notes appearing elsewhere in this report.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See “Forward-Looking Statements” at the beginning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Energy Corp., a Delaware corporation (“Centrus,” the “Company”, “we” or “us”), is a trusted supplier of nuclear fuel components and services for the nuclear power industry, which provides a reliable source of carbon free energy. References to “Centrus”, the “Company”, “our”, or “we” include Centrus Energy Corp. and its wholly owned subsidiaries as well as the predecessor to Centrus, unless the context indicates otherwise.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operates two business segments: (a) LEU, which supplies various components of nuclear fuel to commercial customers from our global network of suppliers, and (b) Technical Solutions, which provides advanced engineering, design, and manufacturing services to government and private sector customers and is deploying uranium enrichment and other capabilities necessary for production of advanced nuclear fuel to power existing and next-generation reactors around the world.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LEU segment currently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LEU is a critical component in the production of nuclear fuel for reactors that produce electricity. We supply LEU and its components to both domestic and international utilities for use in nuclear reactors worldwide. We provide LEU from multiple sources, including our inventory, medium- and long-term supply contracts, and spot purchases. As a long-term supplier of LEU to our customers, our objective is to provide value through the reliability and diversity of our supply sources.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Published spot price indicators for SWU reached historic highs in April 2009 at $163 per SWU. In the years following the 2011 Fukushima accident in Japan, spot prices declined more than 75%,</w:t>
      </w:r>
      <w:r>
        <w:rPr>
          <w:color w:val="000000"/>
        </w:rPr>
        <w:t xml:space="preserve"> </w:t>
      </w:r>
      <w:r>
        <w:rPr>
          <w:rFonts w:ascii="Times New Roman;sans-serif" w:hAnsi="Times New Roman;sans-serif"/>
          <w:b w:val="false"/>
          <w:color w:val="000000"/>
          <w:sz w:val="22"/>
        </w:rPr>
        <w:t xml:space="preserve">bottoming out in August 2018 at $34 per SWU. This was followed by a period of price increases which reached $155 per SWU by December 31, 2023. As of March 31, 2024, spot prices are $166 per SWU. This represents an increase of 7% since the beginning of the year and 388% over the 2018 historic low. This surge in the SWU spot price beginning in 2022 has been driven by uncertainty created as a result of the war in Ukraine, coupled with growing interest in nuclear power as a source of reliable carbon-free energy.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 A report issued by the International Atomic Energy Agency in 2023 reported that while U.S. utilities may have enough inventory to cover one reload of their reactors, “truly strategic physical stockpiles are almost non-existent.”</w:t>
      </w:r>
      <w:r>
        <w:rPr>
          <w:rFonts w:ascii="Times New Roman;sans-serif" w:hAnsi="Times New Roman;sans-serif"/>
          <w:b w:val="false"/>
          <w:color w:val="000000"/>
          <w:sz w:val="14"/>
        </w:rPr>
        <w:t>1</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International Atomic Energy Agency, “Global Inventories of Secondary Uranium Supplies” (IAEA-TECDOC-2030), p. 54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the supply-demand balance and in the competitive landscape arising from the war in Ukraine may affect pricing trends, change customer spending patterns, and create uncertainty in the uranium market. At the same time, there remains uncertainty about future demand for nuclear power generation. To address these changes, we will continue to evaluate opportunities to grow our business organically or through acquisitions and other strategic transactions.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is committed to the restoration of America’s domestic uranium enrichment capability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power the future of nuclear energy as it provides reliable carbon-free power around the world.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Under the 2019 HALEU Demonstration Contract, Centrus was engaged by the DOE to construct a cascade of 16 AC100M centrifuges in Piketon, Ohio to demonstrate HALEU production. The DOE has funded the contract up to $173.0 million with a period of performance that ended November 30, 2022. The Company is currently performing closeout activities on the HALEU Demonstration Contract. The DOE elected to change the scope of the HALEU Demonstration Contract and moved the operational portion of the contract to a new, competitively-awarded contract that would provide for operations beyond the term of the existing HALEU Demonstration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10, 2022, after a competitive solicitation, the DOE notified Centrus that the Company had won the HALEU Operation Contract and work began on December 1, 2022. The base contract value is approximately $150 million with two phases through 2024. Phase 1 included an approximately $30 million cost-share contribution from Centrus matched by approximately $30 million from the DOE to complete construction of the cascade, begin operations and produce the initial 20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by no later than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 During November 2023, the Company transitioned to Phase 2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Phase 2 of the HALEU Operation Contract includes production of 900 kilograms per year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as well as continued operations and maintenance. The DOE owns the HALEU produced from the demonstration cascade, and Centrus is being compensated on a cost-plus-incentive-fee basis, with an expected Phase 2 contract value of approximately $90 million, subject to Congressional appropriations. The HALEU Operation Contract also gives DOE options to pay for up to nine additional years of production from the cascade beyond the base contract; those options are at the DOE’s sole discretion and subject to the availability of Congressional appropriations. Concurrently, pursuant to an amendment to our lease for the Piketon facility, the DOE assumed all D&amp;D liabilities arising out of the HALEU Operation Contract.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contractually obligated to provide the 5B Cylinders necessary to collect the output of the cascade, but supply chain challenges have created difficulties for DOE in timely securing enough 5B Cylinders for the entire production year. To support the DOE in mitigating the risk of further delays in delivery of 5B Cylinders, the Company received technical direction and a contract modification from the DOE to procure compliant 5B Cylinders and components. The contractual obligation to furnish compliant 5B Cylinders under the HALEU Operation Contract continues to rest with the DOE. During periods where quantities of 5B Cylinders are insufficient, the Company will not be able to produce HALEU, but will be able to continue operations of the cascade and perform preventive maintenance and regulatory compliance type activities. Centrus anticipates that the delays in obtaining sufficient 5B Cylinders will be temporary, but no longer expects to achieve delivery of the 900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anticipated for Phase 2 of the contract which extends to November 2024. Although inadequate for meeting the full delivery quantity target, the DOE has been successful in locating a small number of 5B Cylinders. Using the 5B Cylinders currently made available by the DOE, Centrus has now achieved cumulative deliveries to the DOE of approximately 135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We anticipate additional 5B Cylinders will be available during the second quarter, which will allow the Company to continue producing HALEU. The target fee for Phase 2 of the contract was estimated to be $7.5 million based on the estimated costs for the contract and is subject to a contract minimum fee of $6.9 million. The Company is also performing additional work on infrastructure and facility repairs under DOE’s technical direction and subsequent contract modification.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DOE continues to pursue the availability of HALEU for the ARDP and for the advanced reactor market in general. Following receipt of a $700 million congressional appropriation from the Inflation Reduction Act, on January 9, 2024 and November 28, 2023, the DOE issued RFPs for the production of HALEU and the deconversion of HALEU into different forms needed to fabricate fuels used by various advanced reactor developers. The Company has submitted proposals in response to each RFP, with the goal of expanding HALEU production capability at the Piketon facility, subject to availability of funding and/or off-take commitments. We understand that the DOE plans to award one or more indefinite delivery-indefinite quantity contracts to one or more successful bidders, after which one or more awardees would compete for individual task orders. The total contract ceiling for all task orders is $2.7 billion for enrichment and $800 million for deconversion, subject to further appropriations.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has contributed to a significant increase in market prices for enrichment and (along with proposals to limit imports of LEU from Russia) prompted calls for public and private investment in new, domestic uranium enrichment capacity not only for HALEU production but also for LEU production to support the existing fleet of reactors. As a result,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 off-take commitments.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Energy Act of 2020, which was signed into law in December 2020, requires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selected by the DOE for its ARDP will require HALEU. Various agencies of the U.S. government, including the U.S. Department of Defense, the Defense Advanced Research Projects Agency, and the DOE are building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Changes in the competitive landscape affect pricing trends, change customer spending patterns, and create uncertainty. To address these changes, we have taken steps to adjust our cost structure; we may seek further adjustments to our cost structure and operations and evaluate opportunities to grow our business organically or through acquisitions and other strategic transactions.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For further discussion, refer to </w:t>
      </w:r>
      <w:r>
        <w:rPr>
          <w:rFonts w:ascii="Times New Roman;sans-serif" w:hAnsi="Times New Roman;sans-serif"/>
          <w:b w:val="false"/>
          <w:i/>
          <w:color w:val="000000"/>
          <w:sz w:val="22"/>
        </w:rPr>
        <w:t xml:space="preserve">Liquidity and Capital Resources </w:t>
      </w:r>
      <w:r>
        <w:rPr>
          <w:rFonts w:ascii="Times New Roman;sans-serif" w:hAnsi="Times New Roman;sans-serif"/>
          <w:b w:val="false"/>
          <w:color w:val="000000"/>
          <w:sz w:val="22"/>
        </w:rPr>
        <w:t>in this Quarterly Report on Form 10-Q.</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Market Conditions and Outlook</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global nuclear industry outlook has begun to improve after many years of decline or stagnation. The development of advanced small and large-scale reactors, innovative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According to the WNA, as of March 2024, there were 60 reactors under construction worldwide, approximately one-half of which are in China. The United States, with over 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although natural gas prices in the U.S. electricity sector tripled between 2020 and 2022 according to data from the U.S. Energy Information Administration (“EIA”). Nine U.S. reactors have prematurely shut down in the past ten years and others could shut down in the next few years. At the same time, construction was recently completed and commercial operations began in the second quarter of 2024 on one large reactor. The DOE recently released a report outlining a pathway to deployment of approximately 200 gigawatts of additional capacity by 2050 which would triple the nuclear energy capacity in the United States.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IEA projects that global nuclear energy generation will grow substantially in the next three decades. In the IEA’s </w:t>
      </w:r>
      <w:r>
        <w:rPr>
          <w:rFonts w:ascii="Times New Roman;sans-serif" w:hAnsi="Times New Roman;sans-serif"/>
          <w:b w:val="false"/>
          <w:i/>
          <w:color w:val="000000"/>
          <w:sz w:val="22"/>
        </w:rPr>
        <w:t>2023 World Energy Outlook</w:t>
      </w:r>
      <w:r>
        <w:rPr>
          <w:rFonts w:ascii="Times New Roman;sans-serif" w:hAnsi="Times New Roman;sans-serif"/>
          <w:b w:val="false"/>
          <w:color w:val="000000"/>
          <w:sz w:val="22"/>
        </w:rPr>
        <w:t xml:space="preserve">, nuclear generation is forecasted to grow by 25% by 2030 and 45% by 2040 under the “Stated Policies” scenario. In the “Net Zero Emissions by 2050” scenario, nuclear generation would grow by 47% by 2030 and more than double by 2040.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center"/>
        <w:rPr/>
      </w:pPr>
      <w:r>
        <w:rPr/>
        <w:drawing>
          <wp:inline distT="0" distB="0" distL="0" distR="0">
            <wp:extent cx="5486400" cy="4752975"/>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5486400" cy="4752975"/>
                    </a:xfrm>
                    <a:prstGeom prst="rect">
                      <a:avLst/>
                    </a:prstGeom>
                  </pic:spPr>
                </pic:pic>
              </a:graphicData>
            </a:graphic>
          </wp:inline>
        </w:drawing>
      </w:r>
    </w:p>
    <w:p>
      <w:pPr>
        <w:pStyle w:val="TextBody"/>
        <w:bidi w:val="0"/>
        <w:spacing w:before="0" w:after="0"/>
        <w:ind w:left="0" w:right="0" w:firstLine="270"/>
        <w:jc w:val="left"/>
        <w:rPr/>
      </w:pPr>
      <w:r>
        <w:rPr/>
      </w:r>
    </w:p>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a consequence of the March 2011 earthquake and tsunami in Japan, over 60 reactors in Japan and Germany were taken offline, and other countries curtailed or slowed their construction of new reactors or accelerated the retirement of existing plants. Eleven reactors in Japan have restarted, and an additional 16 reactors are in the process of restart approval. Due to the war in Ukraine, the EU is encouraging its member countries to reconsider the planned early retirement of existing plants in order to reduce reliance on Russian gas imports.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July 13, 2023, the Company and TerraPower, LLC (“TerraPower”) entered into a memorandum of understanding (“MOU”) to expand their collaboration aimed at establishing commercial-scale, domestic production capabilities for HALEU to fuel the Natrium TM reactor that TerraPower is building in Wyoming. Under this MOU, the Company and TerraPower will collaborate to ensure the Natrium demonstration reactor has access to HALEU at the milestones necessary to meet the project's 2030 operation date. Subject to a definitive agreement to be negotiated, Centrus will work toward scaling up production capacity with additional centrifuge cascades to meet TerraPower's fuel requirements.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August 28, 2023, the Company and Oklo Inc. (“Oklo”) announced a new MOU to support the deployment of Oklo’s advanced fission powerhouses and advanced nuclear fuel production in Southern Ohio subject to a definitive agreement to be negotiated. Oklo and Centrus plan to enter into a broad range of collaboration programs supporting the development and operation of Oklo’s Aurora powerhouses, including supply of HALEU produced by Centrus at the Piketon, Ohio facility. Centrus also intends to buy clean, reliable, and affordable energy from Oklo’s planned Ohio plants to power its HALEU production facility.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war in Ukraine has escalated tensions between Russia and the international community. As a result, the United States and other countries have imposed, including in the United States through the imminent enactment of the “Prohibiting Russian Uranium Imports Act” discussed below, and may continue imposing, additional sanctions and export controls against certain Russian products, services, organizations and/or individuals. Such additional restrictions could affect our ability to purchase and re-sell Russian uranium enrichment, engage in transactions with TENEX, or implement the TENEX Supply Contract, which would have a negative material impact on our business. Further, sanctions by the United States, Russia or other countries may impact our ability and cost to transport, export, import, take delivery, or make payments related to the LEU we purchase and may require us to increase purchases from non-Russian sources to the extent available.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recently extended to March 2027, but for so long as the sanctions remain in place, the shipper will require further extensions beyond the current validity of the permit for continued shipments of LEU imports.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response to the war in Ukraine, there have been proposals to ban imports of uranium products that could cut off or reduce our ability to import LEU in one or more years under the TENEX Supply Contract. In fact, in December 2023, the U.S. House of Representatives passed H.R. 1042, the “Prohibiting Russian Uranium Imports Act”, which was also passed by the U.S. Senate on April 30, 2024. This legislation bans imports of LEU from Russia into the U.S. beginning ninety (90) days after the date of enactment, subject to issuance of waivers by the DOE. The legislation is before the President for signature into law and its enactment is expected imminently. The U.S. ban on imports of Russian LEU without the grant of a timely waiver, would have a negative material impact on our business. Through 2027, well over one-half of the LEU that we expect to deliver to customers was sourced under the TENEX Supply Contract. While we have other sources of supply, they are not sufficient to replace the TENEX supply. Accordingly, upon enactment of the “Prohibiting Russian Uranium Imports Act”, we will apply for waivers from the Secretary of Energy and other applicable government agencies to allow us to request permission to continue supplying LEU to our customers. It is uncertain whether any waiver would be granted and, if granted, whether any waiver would be granted in a timely manner. In addition, there is draft legislation in Congress designed to impose sanctions on Rosatom which would prohibit transactions with TENEX, a subsidiary of Rosatom. We do not know what actions TENEX might take in response to the legislation when enacted but, if TENEX refuses to make future deliveries under the TENEX Supply Contract, our delivery obligations to our customers would be negatively impacted, including a potential material adverse effect on the Company.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Given all the foregoing, we continue to monitor the situation closely in order to address the potential impact of any new sanctions on the Company and possible mitigation thereof.</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risks and uncertainties, refer to Part I, Item 1A,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in our Annual Report on Form 10-K for the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Operating Results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revenues, operating results, and cash flows can fluctuate significantly from quarter to quarter and year to year.</w:t>
      </w:r>
      <w:r>
        <w:rPr>
          <w:color w:val="000000"/>
        </w:rPr>
        <w:t xml:space="preserve"> </w:t>
      </w:r>
      <w:r>
        <w:rPr>
          <w:rFonts w:ascii="Times New Roman;sans-serif" w:hAnsi="Times New Roman;sans-serif"/>
          <w:b w:val="false"/>
          <w:color w:val="000000"/>
          <w:sz w:val="22"/>
        </w:rPr>
        <w:t xml:space="preserve">Our LEU segment backlog consists primarily of long-term, fixed commitment contracts, and we have visibility on a significant portion of our revenue for 2024-2027.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Given the current uncertainty and disruption in the market, due to, among other things, the war in Ukraine, we are no longer providing guidance on our results of operations for 2024.</w:t>
      </w:r>
      <w:r>
        <w:rPr>
          <w:color w:val="000000"/>
        </w:rPr>
        <w:t xml:space="preserve"> </w:t>
      </w:r>
      <w:r>
        <w:rPr>
          <w:rFonts w:ascii="Times New Roman;sans-serif" w:hAnsi="Times New Roman;sans-serif"/>
          <w:b w:val="false"/>
          <w:color w:val="000000"/>
          <w:sz w:val="22"/>
        </w:rPr>
        <w:t xml:space="preserve">Please see </w:t>
      </w:r>
      <w:r>
        <w:rPr>
          <w:rFonts w:ascii="Times New Roman;sans-serif" w:hAnsi="Times New Roman;sans-serif"/>
          <w:b w:val="false"/>
          <w:i/>
          <w:color w:val="000000"/>
          <w:sz w:val="22"/>
        </w:rPr>
        <w:t>Forward Looking Statements</w:t>
      </w:r>
      <w:r>
        <w:rPr>
          <w:color w:val="000000"/>
        </w:rPr>
        <w:t xml:space="preserve"> </w:t>
      </w:r>
      <w:r>
        <w:rPr>
          <w:rFonts w:ascii="Times New Roman;sans-serif" w:hAnsi="Times New Roman;sans-serif"/>
          <w:b w:val="false"/>
          <w:color w:val="000000"/>
          <w:sz w:val="22"/>
        </w:rPr>
        <w:t xml:space="preserve">at the beginning of this Quarterly Report on Form 10-Q. </w:t>
      </w:r>
    </w:p>
    <w:p>
      <w:pPr>
        <w:pStyle w:val="TextBody"/>
        <w:bidi w:val="0"/>
        <w:spacing w:before="0" w:after="0"/>
        <w:ind w:left="0" w:right="0" w:firstLine="27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future operating results are subject to uncertainties that could affect results either positively or negatively. Among the factors that could affect our results are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Armed conflicts, including the war in Ukraine, government actions and other events or third-party actions that disrupt supply chains, production, transportation, payments, and importation of nuclear materials or other critical supplies or services;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potential for sanctions and other measures that restrict with whom we may transact or affect the importation, sales or purchases of SWU or uranium or goods or services required for the sale, purchase, transportation or delivery of such SWU or uranium;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ability to obtain a waiver to allow us to import LEU from Russia so that we may continue supplying LEU to our customers upon the likely enactment of the “Prohibiting Russian Uranium Imports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availability and terms of additional purchases or sales of SWU and uranium;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Conditions in the LEU and energy markets, including pricing, demand, operations, government restrictions on imports, exports or investments, and regulations of our business and activities and those of our customers, suppliers, contractors, and subcontractors;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Timing of customer orders, related deliveries, and purchases of LEU or LEU components;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Costs of and future funding and demand for HALEU;</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Financial market conditions and other factors that may affect pension and benefit liabilities and the value of related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The outcome of legal proceedings and other contingencies;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Potential use of cash for strategic or financial initiatives;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Actions taken by customers and suppliers, including actions that might affect existing contracts;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government’s inability to satisfy its obligations, including supplying government furnished equipment under its agreements with the Company or processing security clearances due to a shutdown or other reasons;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Market, international trade, and other conditions impacting Centrus’ customers and the industry.</w:t>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uncertainties, refer to Part I, Item 1A, </w:t>
      </w:r>
      <w:r>
        <w:rPr>
          <w:rFonts w:ascii="Times New Roman;sans-serif" w:hAnsi="Times New Roman;sans-serif"/>
          <w:b w:val="false"/>
          <w:i/>
          <w:color w:val="000000"/>
          <w:sz w:val="22"/>
        </w:rPr>
        <w:t xml:space="preserve">Risk Factors, </w:t>
      </w:r>
      <w:r>
        <w:rPr>
          <w:rFonts w:ascii="Times New Roman;sans-serif" w:hAnsi="Times New Roman;sans-serif"/>
          <w:b w:val="false"/>
          <w:color w:val="000000"/>
          <w:sz w:val="22"/>
        </w:rPr>
        <w:t xml:space="preserve">in our Annual Report on Form 10-K for the year ended December 31, 2023.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Backlog</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backlog is $2.0 billion as of both March 31, 2024 and December 31, 2023 and extends to 2033. Backlog is recognized as revenue in future periods as work is performed or deliveries of SWU and uranium are made.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LEU segment extends to 2030. As of March 31, 2024 and December 31, 2023, our backlog was approximately $1.0 billion. The backlog is the estimated aggregate dollar amount of revenue for future SWU and uranium deliveries primarily under medium and long-term contracts with fixed commitments, and includes approximately $0.3 billion of deferred revenue and advances from customers as of March 31, 2024,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laws and restrictions such as the RSA, which limits imports of Russian uranium products into the United States and applies to our sales using material procured under the TENEX Supply Contract, as well as the potential for additional sanctions and other restrictions affecting the Company or its suppliers, in response to the evolving situation regarding the war in Ukraine.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Technical Solutions segment extends to 2033. As of both March 31, 2024 and December 31, 2023, our backlog was approximately $1.0 billion. Our backlog includes both funded amounts (services for which funding has been both authorized and appropriated by the customer), unfunded amounts (services for which funding has not been appropriated), and unexercised options. If any of our contracts were to be terminated, our remaining backlog would be reduced by the expected value of the cancelled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two reportable segments: the LEU segment and the Technical Solutions segment. </w:t>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our LEU segment is derived primarily from the following: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sales of the SWU component of LEU,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sales of natural uranium hexafluoride, uranium concentrates or uranium conversion,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sales of enriched uranium product that include both the natural uranium hexafluoride and SWU components of LEU.</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Technical Solutions segment reflects our technical, manufacturing, engineering, and operations services offered to public and private sector customers, including engineering and testing activities as well as technical and resource support currently being performed by the Company. This includes the HALEU Operation Contract and other contracts with public and private sector customers.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SWU and Uranium Sales</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our LEU segment accounted for approximately 54% of our total revenue for the three months ended March 31, 2024. The majority of our customers are domestic and international utilities that operate nuclear power plants, with international sales constituting approximately 34% of revenue from our LEU segment since 2022.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Individual customer orders for the SWU component of LEU fulfilled in the three months ended March 31, 2024 averaged approximately $5.9 million per order. As a result, a relatively small shift in the timing of customer orders for LEU may cause significant variability in our operating results year over year.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Utility customers, in general, have the option to make payment but defer receipt of SWU and uranium products purchased from Centrus beyond the contractual sale period, resulting in the deferral of costs and revenue recognition. Refer to Note 2,</w:t>
      </w:r>
      <w:r>
        <w:rPr>
          <w:color w:val="000000"/>
        </w:rPr>
        <w:t xml:space="preserve"> </w:t>
      </w:r>
      <w:r>
        <w:rPr>
          <w:rFonts w:ascii="Times New Roman;sans-serif" w:hAnsi="Times New Roman;sans-serif"/>
          <w:b w:val="false"/>
          <w:i/>
          <w:color w:val="000000"/>
          <w:sz w:val="22"/>
        </w:rPr>
        <w:t>Revenue and Contracts with Customers,</w:t>
      </w:r>
      <w:r>
        <w:rPr>
          <w:color w:val="000000"/>
        </w:rPr>
        <w:t xml:space="preserve"> </w:t>
      </w:r>
      <w:r>
        <w:rPr>
          <w:rFonts w:ascii="Times New Roman;sans-serif" w:hAnsi="Times New Roman;sans-serif"/>
          <w:b w:val="false"/>
          <w:color w:val="000000"/>
          <w:sz w:val="22"/>
        </w:rPr>
        <w:t>of this Quarterly Report on Form 10-Q of the Consolidated Financial Statements for further details.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uranium hexafluoride prices sharply higher.</w:t>
      </w:r>
      <w:r>
        <w:rPr>
          <w:color w:val="000000"/>
        </w:rPr>
        <w:t xml:space="preserve"> </w:t>
      </w:r>
      <w:r>
        <w:rPr>
          <w:rFonts w:ascii="Times New Roman;sans-serif" w:hAnsi="Times New Roman;sans-serif"/>
          <w:b w:val="false"/>
          <w:color w:val="000000"/>
          <w:sz w:val="22"/>
        </w:rPr>
        <w:t>Since our backlog includes contracts awarded to us in previous years, the average SWU price billed to customers typically lags published price indicators by several years. While some sales reflect the low prices prevalent in recent years, certain older contracts included in our backlog have prices that are above current market prices.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Recent proposals, including proposed U.S. legislation, to severely limit or cut off supply of LEU from Russia, have drawn attention to the potential for significant tightening of supplies in the market.</w:t>
      </w:r>
      <w:r>
        <w:rPr>
          <w:color w:val="000000"/>
        </w:rPr>
        <w:t xml:space="preserve"> </w:t>
      </w:r>
      <w:r>
        <w:rPr>
          <w:rFonts w:ascii="Times New Roman;sans-serif" w:hAnsi="Times New Roman;sans-serif"/>
          <w:b w:val="false"/>
          <w:color w:val="000000"/>
          <w:sz w:val="22"/>
        </w:rPr>
        <w:t>Russian enrichment plants represent 44%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w:t>
      </w:r>
      <w:r>
        <w:rPr>
          <w:color w:val="000000"/>
        </w:rPr>
        <w:t xml:space="preserve"> </w:t>
      </w:r>
      <w:r>
        <w:rPr>
          <w:rFonts w:ascii="Times New Roman;sans-serif" w:hAnsi="Times New Roman;sans-serif"/>
          <w:b w:val="false"/>
          <w:color w:val="000000"/>
          <w:sz w:val="22"/>
        </w:rPr>
        <w:t xml:space="preserve">While inventories and increased production at non-Russian plants may mitigate the shortfall, these options would not fully replace Russian supply. Deployment of new capacity ultimately could replace Russian enrichment but this capacity will take a number of years and significant funding from private and/or government sources to come online.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following chart summarizes SWU long-term price and spot price indicators, and a UF</w:t>
      </w:r>
      <w:r>
        <w:rPr>
          <w:rFonts w:ascii="Times New Roman;sans-serif" w:hAnsi="Times New Roman;sans-serif"/>
          <w:b w:val="false"/>
          <w:color w:val="000000"/>
          <w:sz w:val="14"/>
        </w:rPr>
        <w:t xml:space="preserve">6 </w:t>
      </w:r>
      <w:r>
        <w:rPr>
          <w:rFonts w:ascii="Times New Roman;sans-serif" w:hAnsi="Times New Roman;sans-serif"/>
          <w:b w:val="false"/>
          <w:color w:val="000000"/>
          <w:sz w:val="22"/>
        </w:rPr>
        <w:t xml:space="preserve">spot price indicator, as published by TradeTech, LLC in </w:t>
      </w:r>
      <w:r>
        <w:rPr>
          <w:rFonts w:ascii="Times New Roman;sans-serif" w:hAnsi="Times New Roman;sans-serif"/>
          <w:b w:val="false"/>
          <w:i/>
          <w:color w:val="000000"/>
          <w:sz w:val="22"/>
        </w:rPr>
        <w:t>Nuclear Market Review</w:t>
      </w:r>
      <w:r>
        <w:rPr>
          <w:rFonts w:ascii="Times New Roman;sans-serif" w:hAnsi="Times New Roman;sans-serif"/>
          <w:b w:val="false"/>
          <w:color w:val="000000"/>
          <w:sz w:val="22"/>
        </w:rPr>
        <w:t>:</w:t>
      </w:r>
    </w:p>
    <w:p>
      <w:pPr>
        <w:pStyle w:val="TextBody"/>
        <w:bidi w:val="0"/>
        <w:spacing w:before="0" w:after="180"/>
        <w:ind w:left="0" w:right="0" w:firstLine="27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SWU and Uranium Market Price Indicators*</w:t>
      </w:r>
    </w:p>
    <w:p>
      <w:pPr>
        <w:pStyle w:val="TextBody"/>
        <w:bidi w:val="0"/>
        <w:spacing w:before="0" w:after="0"/>
        <w:jc w:val="center"/>
        <w:rPr/>
      </w:pPr>
      <w:r>
        <w:rPr/>
      </w:r>
    </w:p>
    <w:p>
      <w:pPr>
        <w:pStyle w:val="TextBody"/>
        <w:bidi w:val="0"/>
        <w:spacing w:before="0" w:after="0"/>
        <w:jc w:val="center"/>
        <w:rPr/>
      </w:pPr>
      <w:r>
        <w:rPr/>
        <w:drawing>
          <wp:inline distT="0" distB="0" distL="0" distR="0">
            <wp:extent cx="6191250" cy="4286250"/>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6191250" cy="4286250"/>
                    </a:xfrm>
                    <a:prstGeom prst="rect">
                      <a:avLst/>
                    </a:prstGeom>
                  </pic:spPr>
                </pic:pic>
              </a:graphicData>
            </a:graphic>
          </wp:inline>
        </w:drawing>
      </w:r>
    </w:p>
    <w:p>
      <w:pPr>
        <w:pStyle w:val="TextBody"/>
        <w:bidi w:val="0"/>
        <w:spacing w:lineRule="auto" w:line="288" w:before="0" w:after="0"/>
        <w:ind w:left="0" w:right="0" w:firstLine="270"/>
        <w:jc w:val="left"/>
        <w:rPr/>
      </w:pPr>
      <w:r>
        <w:rPr>
          <w:color w:val="000000"/>
        </w:rPr>
        <w:t>        </w:t>
      </w:r>
      <w:r>
        <w:rPr>
          <w:rFonts w:ascii="Times New Roman;sans-serif" w:hAnsi="Times New Roman;sans-serif"/>
          <w:b w:val="false"/>
          <w:color w:val="000000"/>
          <w:sz w:val="20"/>
        </w:rPr>
        <w:t xml:space="preserve">* Source: </w:t>
      </w:r>
      <w:r>
        <w:rPr>
          <w:rFonts w:ascii="Times New Roman;sans-serif" w:hAnsi="Times New Roman;sans-serif"/>
          <w:b w:val="false"/>
          <w:i/>
          <w:color w:val="000000"/>
          <w:sz w:val="20"/>
        </w:rPr>
        <w:t>Nuclear Market Review</w:t>
      </w:r>
      <w:r>
        <w:rPr>
          <w:rFonts w:ascii="Times New Roman;sans-serif" w:hAnsi="Times New Roman;sans-serif"/>
          <w:b w:val="false"/>
          <w:color w:val="000000"/>
          <w:sz w:val="20"/>
        </w:rPr>
        <w:t>, a TradeTech publication, www.uranium.info</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a customer contract that commenced deliveries in 2023,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Cost of sales for SWU and uranium is based on the amount of SWU and uranium hexafluoride sold and delivered during the period and unit inventory costs. Unit inventory costs are determined using the average cost method. Changes in purchase costs have an effect on inventory costs and cost of sales. Cost of sales includes costs for inventory management at off-site licensed locations and also includes certain legacy costs related to former employees of the Portsmouth GDP and Paducah GDP.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Technical Solutions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elements of the accompanying Consolidated Statements of Operations and Comprehensive Income that are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Three Months Ended March 31, 2024 Compared with Three Months Ended March 31, 2023</w:t>
      </w:r>
    </w:p>
    <w:p>
      <w:pPr>
        <w:pStyle w:val="TextBody"/>
        <w:bidi w:val="0"/>
        <w:spacing w:before="0" w:after="0"/>
        <w:ind w:left="0" w:right="0" w:firstLine="270"/>
        <w:jc w:val="left"/>
        <w:rPr/>
      </w:pPr>
      <w:r>
        <w:rPr/>
      </w:r>
    </w:p>
    <w:tbl>
      <w:tblPr>
        <w:tblW w:w="7164" w:type="dxa"/>
        <w:jc w:val="center"/>
        <w:tblInd w:w="0" w:type="dxa"/>
        <w:tblLayout w:type="fixed"/>
        <w:tblCellMar>
          <w:top w:w="28" w:type="dxa"/>
          <w:left w:w="28" w:type="dxa"/>
          <w:bottom w:w="28" w:type="dxa"/>
          <w:right w:w="28" w:type="dxa"/>
        </w:tblCellMar>
      </w:tblPr>
      <w:tblGrid>
        <w:gridCol w:w="914"/>
        <w:gridCol w:w="802"/>
        <w:gridCol w:w="804"/>
        <w:gridCol w:w="211"/>
        <w:gridCol w:w="511"/>
        <w:gridCol w:w="109"/>
        <w:gridCol w:w="109"/>
        <w:gridCol w:w="109"/>
        <w:gridCol w:w="109"/>
        <w:gridCol w:w="211"/>
        <w:gridCol w:w="526"/>
        <w:gridCol w:w="109"/>
        <w:gridCol w:w="109"/>
        <w:gridCol w:w="109"/>
        <w:gridCol w:w="109"/>
        <w:gridCol w:w="211"/>
        <w:gridCol w:w="586"/>
        <w:gridCol w:w="109"/>
        <w:gridCol w:w="109"/>
        <w:gridCol w:w="109"/>
        <w:gridCol w:w="109"/>
        <w:gridCol w:w="233"/>
        <w:gridCol w:w="233"/>
        <w:gridCol w:w="614"/>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LEU segment</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SWU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Uranium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Technical Solutions segment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Gross profit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Revenue from the LEU segment was $23.6 million and $58.8 million for the three months ended March 31, 2024 and 2023, respectively, a decrease of $35.2 million (or 60%), SWU revenue decreased by $35.2 million as a result of a 53% decrease in the volume of SWU sold and a 14% decrease in the average price of SWU sold.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Revenue from the Technical Solutions segment was $20.1 million and $8.1 million for the three months ended March 31, 2024 and 2023, respectively, an increase of $12.0 million (or 148%). Revenue generated by the HALEU Operation Contract increased by $12.0 million due to the transition from Phase 1 to Phase 2 in late 2023.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Cost of Sales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Cost of sales for the LEU segment was $23.1 million and $34.9 million for the three months ended March 31, 2024 and 2023, respectively, a decrease of $11.8 million (or 34%). SWU costs decreased by $12.3 million as a result of a 53% decrease in the volume of SWU sold, partially offset by a 38% increase in the average unit cost of SWU sold. Cost of sales for the three months ended March 31, 2024 and 2023, respectively, included $0.3 million and $2.1 million for the revaluation of inventory loans.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Cost of sales for the Technical Solutions segment was $16.3 million and $9.0 million for the three months ended March 31, 2024 and 2023, respectively, an increase of $7.3 million (or 81%). Costs incurred for the HALEU Operation Contract increased by $7.3 million due to the transition from Phase 1 to Phase 2 in late 2023. For details on HALEU Operation Contract accounting, refer to </w:t>
      </w:r>
      <w:r>
        <w:rPr>
          <w:rFonts w:ascii="Times New Roman;sans-serif" w:hAnsi="Times New Roman;sans-serif"/>
          <w:b w:val="false"/>
          <w:i/>
          <w:color w:val="000000"/>
          <w:sz w:val="22"/>
        </w:rPr>
        <w:t>Technical Solutions Segment</w:t>
      </w:r>
      <w:r>
        <w:rPr>
          <w:color w:val="000000"/>
        </w:rPr>
        <w:t xml:space="preserve"> </w:t>
      </w:r>
      <w:r>
        <w:rPr>
          <w:rFonts w:ascii="Times New Roman;sans-serif" w:hAnsi="Times New Roman;sans-serif"/>
          <w:b w:val="false"/>
          <w:color w:val="000000"/>
          <w:sz w:val="22"/>
        </w:rPr>
        <w:t>above.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Gross Profit (Loss)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Gross profit for the LEU segment was $0.5 million and $23.9 million for the three months ended March 31, 2024 and 2023, respectively, a decrease of $23.4 million (or 98%). The decrease for the three months ended March 31, 2024 was due primarily to the specific contract and pricing mix of SWU contracts and the timing of their deliveries quarter over quarter. This was reflected by a decrease in the volume of SWU sold and a decrease in the average profit margin per SWU.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(loss) for the Technical Solutions segment was $3.8 million and ($0.9) million for the three months ended March 31, 2024 and 2023, respectively, an increase of $4.7 million (or 522%). The increase was primarily attributable to the transition from Phase 1 to Phase 2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Non-Segment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elements of the accompanying Consolidated Statements of Operations and Comprehensive Income that are not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Three Months Ended March 31, 2024 Compared with Three Months Ended March 31, 2023</w:t>
      </w:r>
    </w:p>
    <w:p>
      <w:pPr>
        <w:pStyle w:val="TextBody"/>
        <w:bidi w:val="0"/>
        <w:spacing w:before="0" w:after="0"/>
        <w:ind w:left="0" w:right="0" w:firstLine="270"/>
        <w:jc w:val="left"/>
        <w:rPr/>
      </w:pPr>
      <w:r>
        <w:rPr/>
      </w:r>
    </w:p>
    <w:tbl>
      <w:tblPr>
        <w:tblW w:w="9157" w:type="dxa"/>
        <w:jc w:val="center"/>
        <w:tblInd w:w="0" w:type="dxa"/>
        <w:tblLayout w:type="fixed"/>
        <w:tblCellMar>
          <w:top w:w="28" w:type="dxa"/>
          <w:left w:w="28" w:type="dxa"/>
          <w:bottom w:w="28" w:type="dxa"/>
          <w:right w:w="28" w:type="dxa"/>
        </w:tblCellMar>
      </w:tblPr>
      <w:tblGrid>
        <w:gridCol w:w="1628"/>
        <w:gridCol w:w="1419"/>
        <w:gridCol w:w="1437"/>
        <w:gridCol w:w="211"/>
        <w:gridCol w:w="481"/>
        <w:gridCol w:w="109"/>
        <w:gridCol w:w="109"/>
        <w:gridCol w:w="109"/>
        <w:gridCol w:w="109"/>
        <w:gridCol w:w="211"/>
        <w:gridCol w:w="511"/>
        <w:gridCol w:w="109"/>
        <w:gridCol w:w="109"/>
        <w:gridCol w:w="109"/>
        <w:gridCol w:w="109"/>
        <w:gridCol w:w="211"/>
        <w:gridCol w:w="586"/>
        <w:gridCol w:w="109"/>
        <w:gridCol w:w="109"/>
        <w:gridCol w:w="109"/>
        <w:gridCol w:w="109"/>
        <w:gridCol w:w="269"/>
        <w:gridCol w:w="271"/>
        <w:gridCol w:w="614"/>
      </w:tblGrid>
      <w:tr>
        <w:trPr/>
        <w:tc>
          <w:tcPr>
            <w:tcW w:w="162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Advanced technology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Special charges for workforce reductions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Nonoperating components of net periodic benefit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before income taxes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 (benefit)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(loss) and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270"/>
        <w:jc w:val="center"/>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Advanced Technology Costs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Advanced technology costs were $5.7 million and $3.4 million for the three months ended March 31, 2024 and 2023, respectively, an increase of $2.3 million (or 68%). Advanced technology costs consist of American Centrifuge work and related expenses that are outside of our customer contracts in the Technical Solutions segment, including bid and proposal activities and work to improve our centrifuge technology.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Selling, General and Administrative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costs were $8.1 million and $10.3 million for the three months ended March 31, 2024 and 2023, respectively, a decrease of $2.2 million (or 21%). This decrease was due primarily to a decrease in employee-related expenses, including equity related compensation, and a decrease in consulting costs.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Tax Expense (Benefit)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Income tax expense (benefit) was ($2.3) million and $2.4 million for the three months ended March 31, 2024 and 2023, respectively, a change of $4.7 million (or 196%). Income tax expense (benefit) for both periods resulted from applying the annual effective tax rate to the quarterly income from continuing operations adjusted for discrete items. For more information about the valuation allowance, see Note 14,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xml:space="preserve">, in our Consolidated Financial Statements on our Annual Report on Form 10-K for the year ended December 31, 2023.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Net Income (Loss) and Comprehensive Income (Loss)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 was ($6.1) million and $7.2 million for the three months ended March 31, 2024 and 2023, respectively, a change of $13.3 million (or 185%). The decrease of $13.3 million was primarily attributable to a $23.4 million decrease in gross profit from the LEU segment and a $2.3 million increase in advanced technology costs, partially offset by a $4.7 million increase in gross profit from the Technical Solutions segment and a $4.7 million decrease in income tax expense (benefit).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120" w:after="6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As of March 31, 2024, the Company had a consolidated cash and cash equivalents balance of $209.3 million. In addition, there was $29.8 million of restricted cash related to three inventory loans, which required a cash deposit into an escrow fund. See Note 3</w:t>
      </w:r>
      <w:r>
        <w:rPr>
          <w:rFonts w:ascii="Times New Roman;sans-serif" w:hAnsi="Times New Roman;sans-serif"/>
          <w:b w:val="false"/>
          <w:i/>
          <w:color w:val="000000"/>
          <w:sz w:val="22"/>
        </w:rPr>
        <w:t>, Cash, Cash Equivalents, and Restricted Cash</w:t>
      </w:r>
      <w:r>
        <w:rPr>
          <w:color w:val="000000"/>
        </w:rPr>
        <w:t xml:space="preserve"> </w:t>
      </w:r>
      <w:r>
        <w:rPr>
          <w:rFonts w:ascii="Times New Roman;sans-serif" w:hAnsi="Times New Roman;sans-serif"/>
          <w:b w:val="false"/>
          <w:color w:val="000000"/>
          <w:sz w:val="22"/>
        </w:rPr>
        <w:t xml:space="preserve">of the Consolidated Financial Statements. The Company anticipates having adequate liquidity to support our business operations for at least the next 12 months from the date of this Quarterly Report. Our view of liquidity is dependent on, among other things, conditions affecting our operations, including market, international trade restrictions, sanctions and other conditions, the impact of enactment of the “Prohibiting Russian Uranium Imports Act” and our ability to obtain a waiver thereunder, should the legislation be enacted, the level of expenditures and government funding for our services contracts and the timing of customer payments. Liquidity requirements for our existing operations are affected primarily by the timing and amount of customer sales and our inventory purchases.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believes its LEU segment backlog is a source of stability for our liquidity position. Subject to market conditions, we see the potential for growing uncommitted demand for LEU during the next few years with accelerated open demand in 2025 and beyond.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next generation fuels.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10, 2022, the Company was awarded the HALEU Operation Contract. The HALEU Operation Contract provides for a 50/50 cost-share contract for Phase 1 of the base contract to complete the cascade, begin operations and complete the initial, small quantity demonstration HALEU. Phase 2 includes continued operations and maintenance on a cost-plus-incentive-fee basis. Finally, the HALEU Operation Contract includes options for the government to unilaterally extend performance for up to an additional nine years comprised of three options of three years each, also on a cost-plus-incentive-fee basis. The Company also is performing additional work on infrastructure and facility repairs and costs associated with 5B Cylinder refurbishment under the DOE’s technical direction. The Company’s goal is to modularly scale up the facility as demand for HALEU grows in the commercial and government sectors, subject to the availability of funding and/or contracts to purchase the output of the plant.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in our Annual Report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funding by the U.S. government of gas centrifuge technology is reduced or discontinued, or we are not awarded a future DOE contract to continue to operate the cascade or expand it, such actions may have a material adverse impact on our ability to deploy the American Centrifuge technology and on our liquidity.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 of approximately $5.5 million are anticipated over the next 12 months.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change in cash, cash equivalents and restricted cash from our Consolidated Statements of Cash Flows are as follows on a summarized basis (in millions): </w:t>
      </w:r>
    </w:p>
    <w:tbl>
      <w:tblPr>
        <w:tblW w:w="8290" w:type="dxa"/>
        <w:jc w:val="center"/>
        <w:tblInd w:w="0" w:type="dxa"/>
        <w:tblLayout w:type="fixed"/>
        <w:tblCellMar>
          <w:top w:w="28" w:type="dxa"/>
          <w:left w:w="28" w:type="dxa"/>
          <w:bottom w:w="28" w:type="dxa"/>
          <w:right w:w="28" w:type="dxa"/>
        </w:tblCellMar>
      </w:tblPr>
      <w:tblGrid>
        <w:gridCol w:w="2289"/>
        <w:gridCol w:w="2013"/>
        <w:gridCol w:w="2028"/>
        <w:gridCol w:w="216"/>
        <w:gridCol w:w="432"/>
        <w:gridCol w:w="111"/>
        <w:gridCol w:w="111"/>
        <w:gridCol w:w="111"/>
        <w:gridCol w:w="111"/>
        <w:gridCol w:w="216"/>
        <w:gridCol w:w="494"/>
        <w:gridCol w:w="158"/>
      </w:tblGrid>
      <w:tr>
        <w:trPr/>
        <w:tc>
          <w:tcPr>
            <w:tcW w:w="228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w:t>
              <w:br/>
              <w:t> March 31,</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(used in) operating activities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financing activities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Increase in cash, cash equivalents and restricted cash</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8.1</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8.9</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2024, net cash provided by operating activities was $5.3 million. The net increase was primarily due to approximately $81.0 million in cash collected from customers, investment income, and reimbursements for postretirement health and life benefits paid by the Company. These cash inflows were partially offset by approximately $76.0 million of disbursements for operations, of which approximately $52.0 million relates to payments for LEU inventory deliveries and cash outflows for the Technical Solutions segment, with the remaining disbursements being for corporate administration, benefits claims, and advanced technology costs.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the three months ended March 31, 2023, net cash used in operating activities was $9.7 million. The net decrease was primarily due to $89.1 million of disbursements for operations, of which $59.4 million relates to payments for LEU inventory deliveries and cash outflows for the Technical Solutions segment, with the remaining disbursements being for corporate administration, benefits claims, and advanced technology costs. These cash outflows were partially offset by approximately $74.8 million in cash collected from customers.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 were $1.5 million and $0.3 million for the three months ended March 31, 2024 and 2023,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For the three months ended March 31, 2024 and 2023, cash of $7.1 million and $22.0</w:t>
      </w:r>
      <w:r>
        <w:rPr>
          <w:color w:val="000000"/>
        </w:rPr>
        <w:t xml:space="preserve"> </w:t>
      </w:r>
      <w:r>
        <w:rPr>
          <w:rFonts w:ascii="Times New Roman;sans-serif" w:hAnsi="Times New Roman;sans-serif"/>
          <w:b w:val="false"/>
          <w:color w:val="000000"/>
          <w:sz w:val="22"/>
        </w:rPr>
        <w:t>million, respectively, was provided from the net proceeds related to the issuance of 176,628 and 722,568 shares, respectively, of Class A Common Stock under an ATM offering. For both the three months ended March 31, 2024 and 2023, payments of $3.1 million of interest classified as debt are classified as a financing activity. Refer to Note 6</w:t>
      </w:r>
      <w:r>
        <w:rPr>
          <w:rFonts w:ascii="Times New Roman;sans-serif" w:hAnsi="Times New Roman;sans-serif"/>
          <w:b w:val="false"/>
          <w:i/>
          <w:color w:val="000000"/>
          <w:sz w:val="22"/>
        </w:rPr>
        <w:t>, Debt,</w:t>
      </w:r>
      <w:r>
        <w:rPr>
          <w:color w:val="000000"/>
        </w:rPr>
        <w:t xml:space="preserve"> </w:t>
      </w:r>
      <w:r>
        <w:rPr>
          <w:rFonts w:ascii="Times New Roman;sans-serif" w:hAnsi="Times New Roman;sans-serif"/>
          <w:b w:val="false"/>
          <w:color w:val="000000"/>
          <w:sz w:val="22"/>
        </w:rPr>
        <w:t xml:space="preserve">of the Consolidated Financial Statements regarding the accounting for the 8.25% Notes maturing in February 2027.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Working Capital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Company’s working capital (in millions): </w:t>
      </w:r>
    </w:p>
    <w:tbl>
      <w:tblPr>
        <w:tblW w:w="8230" w:type="dxa"/>
        <w:jc w:val="center"/>
        <w:tblInd w:w="0" w:type="dxa"/>
        <w:tblLayout w:type="fixed"/>
        <w:tblCellMar>
          <w:top w:w="28" w:type="dxa"/>
          <w:left w:w="28" w:type="dxa"/>
          <w:bottom w:w="28" w:type="dxa"/>
          <w:right w:w="28" w:type="dxa"/>
        </w:tblCellMar>
      </w:tblPr>
      <w:tblGrid>
        <w:gridCol w:w="2037"/>
        <w:gridCol w:w="1789"/>
        <w:gridCol w:w="1799"/>
        <w:gridCol w:w="216"/>
        <w:gridCol w:w="647"/>
        <w:gridCol w:w="111"/>
        <w:gridCol w:w="109"/>
        <w:gridCol w:w="109"/>
        <w:gridCol w:w="109"/>
        <w:gridCol w:w="276"/>
        <w:gridCol w:w="826"/>
        <w:gridCol w:w="202"/>
      </w:tblGrid>
      <w:tr>
        <w:trPr/>
        <w:tc>
          <w:tcPr>
            <w:tcW w:w="203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net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debt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 net of deferred costs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 and liabilities, net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Working capital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201.3</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214.3</w:t>
            </w: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managing our working capital to seek to improve the long-term value of our LEU and Technical Solutions businesses and are planning to continue funding the Company’s qualified pension plans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including the terms and conditions of our 8.25% Notes. We continually evaluate alternatives to manage our capital structure, and may opportunistically repurchase, exchange, or redeem Company securities from time to time.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February 9, 2024, the Company entered into an At Market Issuance Sales Agreement with B. Riley Securities, Inc., Lake Street Capital Markets, LLC and Roth Capital Partners, LLC (the “Agents”), relating to the ATM offering of shares of the Company’s Class A Common Stock. Pursuant to this sales agreement, the Company sold an aggregate of 176,628 shares of its Class A Common Stock at the market price for a total of $7.4 million in the three months ended March 31, 2024. After expenses and commissions paid to the agents, the Company’s proceeds totaled $7.1 million. Additionally, the Company recorded direct costs of less than $0.1 million related to the issuance. The shares of Class A Common Stock were issued pursuant to the Company’s shelf registration statement on Form S-3 (File No. 333-272984), which became effective on July 10, 2023, and a prospectus supplement dated February 9, 2024. The Company has used and/or intends to use the net proceeds from this offering for working capital and general corporate purposes including, but not limited to, capital expenditures, repayment of indebtedness, potential acquisitions and other business opportunities. Pending any specific application, we may initially invest funds in short-term marketable securities or apply them to the reduction of indebtedness.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sold an aggregate of 722,568 shares of its Class A Common Stock at the market price for a total of $24.4 million in the three months ended March 31, 2023. After expenses and commissions paid to the agents, the Company’s proceeds totaled $23.4 million. Additionally, the Company recorded direct costs of $0.2 million related to the issuance. The shares of Class A Common Stock were issued pursuant to the Company’s shelf registration statement on Form S-3 (File No. 333-239242), which became effective on August 5, 2020, and two prospectus supplements dated December 31, 2020 and December 5, 2022, respectively. The Company has used and/or intends to use the net proceeds from this offering for working capital and general corporate purposes including, but not limited to, capital expenditures, investment in technology development and deployment, repayment of indebtedness, potential acquisitions and other business opportunities.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Shelf Registration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filed a shelf registration statement on Form S-3 (Registration Statement No. 333-272984) with the SEC on June 28, 2023, which became effective on July 10, 2023. Pursuant to this shelf registration statement, the Company may offer and sell up to $200 million in securities, in aggregate. The Company retains broad discretion over the use of the net proceeds from the sale of the securities offered. Unless otherwise specified in any prospectus supplement, we currently intend to use the net proceeds from the sale of our securities offered under this prospectus for working capital and general corporate purposes including, but not limited to, capital expenditures, repayment of indebtedness, potential acquisitions and other business opportunities. Pending any specific application, we may initially invest funds in short-term marketable securities or apply them to the reduction of indebtedness.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Capital Structure and Financial Resources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Interest on the 8.25% Notes is payable semi-annually in arrears as of February 28 and August 31 based on a 360-day year consisting of twelve 30-day months. The 8.25% Notes are guaranteed on a subordinated and limited basis by, and secured by substantially all assets of, Enrichment Corp. The 8.25% Notes mature on February 28, 2027. Additional terms and conditions of the 8.25% Notes are described in Note 6</w:t>
      </w:r>
      <w:r>
        <w:rPr>
          <w:rFonts w:ascii="Times New Roman;sans-serif" w:hAnsi="Times New Roman;sans-serif"/>
          <w:b w:val="false"/>
          <w:i/>
          <w:color w:val="000000"/>
          <w:sz w:val="22"/>
        </w:rPr>
        <w:t xml:space="preserve">, Debt, </w:t>
      </w:r>
      <w:r>
        <w:rPr>
          <w:rFonts w:ascii="Times New Roman;sans-serif" w:hAnsi="Times New Roman;sans-serif"/>
          <w:b w:val="false"/>
          <w:color w:val="000000"/>
          <w:sz w:val="22"/>
        </w:rPr>
        <w:t>of the Consolidated Financial Statements and Note 8</w:t>
      </w:r>
      <w:r>
        <w:rPr>
          <w:rFonts w:ascii="Times New Roman;sans-serif" w:hAnsi="Times New Roman;sans-serif"/>
          <w:b w:val="false"/>
          <w:i/>
          <w:color w:val="000000"/>
          <w:sz w:val="22"/>
        </w:rPr>
        <w:t>, Debt,</w:t>
      </w:r>
      <w:r>
        <w:rPr>
          <w:color w:val="000000"/>
        </w:rPr>
        <w:t xml:space="preserve"> </w:t>
      </w:r>
      <w:r>
        <w:rPr>
          <w:rFonts w:ascii="Times New Roman;sans-serif" w:hAnsi="Times New Roman;sans-serif"/>
          <w:b w:val="false"/>
          <w:color w:val="000000"/>
          <w:sz w:val="22"/>
        </w:rPr>
        <w:t>of the Consolidated Financial Statements in the Company’s Annual Report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Contractual Commitments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our contractual commitments from those discussed in our Annual Report on Form 10-K for the year ended December 31,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DOE Technology License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 million. There is currently no commercial enrichment facility producing LEU using DOE centrifuge technology. We are continuing to advance our U.S. centrifuge technology that has evolved from DOE inventions at specialized facilities in Oak Ridge with a view to deploying a commercial enrichment facility over the long term.</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Off-Balance Sheet Arrangements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Other than our SWU purchase commitments and the license agreement with DOE relating to the American Centrifuge technology, there were no material off-balance sheet arrangements at March 31, 2024.</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Critical Accounting Policies Estimates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There have been no significant changes to the critical accounting estimates disclosed in Part II, Item 7, </w:t>
      </w:r>
      <w:r>
        <w:rPr>
          <w:rFonts w:ascii="Times New Roman;sans-serif" w:hAnsi="Times New Roman;sans-serif"/>
          <w:b w:val="false"/>
          <w:i/>
          <w:color w:val="000000"/>
          <w:sz w:val="22"/>
        </w:rPr>
        <w:t>Management’s Discussion and Analysis of Financial Condition and Results of Operations,</w:t>
      </w:r>
      <w:r>
        <w:rPr>
          <w:color w:val="000000"/>
        </w:rPr>
        <w:t xml:space="preserve"> </w:t>
      </w:r>
      <w:r>
        <w:rPr>
          <w:rFonts w:ascii="Times New Roman;sans-serif" w:hAnsi="Times New Roman;sans-serif"/>
          <w:b w:val="false"/>
          <w:color w:val="000000"/>
          <w:sz w:val="22"/>
        </w:rPr>
        <w:t>in our Annual Report on Form 10-K for the year ended December 31, 2023.</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2"/>
        </w:rPr>
        <w:t xml:space="preserve">Item 3. </w:t>
      </w:r>
      <w:r>
        <w:rPr>
          <w:rFonts w:ascii="Times New Roman;sans-serif" w:hAnsi="Times New Roman;sans-serif"/>
          <w:b/>
          <w:i/>
          <w:color w:val="000000"/>
          <w:sz w:val="22"/>
        </w:rPr>
        <w:t>Quantitative and Qualitative Disclosures About Market Risk</w:t>
      </w:r>
    </w:p>
    <w:p>
      <w:pPr>
        <w:pStyle w:val="TextBody"/>
        <w:bidi w:val="0"/>
        <w:spacing w:before="0" w:after="0"/>
        <w:ind w:left="0" w:right="0" w:firstLine="270"/>
        <w:jc w:val="both"/>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our market risks from those discussed in our Annual Report on Form 10-K for the year ended December 31,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2"/>
        </w:rPr>
        <w:t xml:space="preserve">Item 4. </w:t>
      </w:r>
      <w:r>
        <w:rPr>
          <w:rFonts w:ascii="Times New Roman;sans-serif" w:hAnsi="Times New Roman;sans-serif"/>
          <w:b/>
          <w:i/>
          <w:color w:val="000000"/>
          <w:sz w:val="22"/>
        </w:rPr>
        <w:t>Controls and Procedures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of March 31, 2024,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changes in our internal control over financial reporting during the quarter ended March 31, 2024,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 </w:t>
      </w:r>
      <w:r>
        <w:rPr>
          <w:rFonts w:ascii="Times New Roman;sans-serif" w:hAnsi="Times New Roman;sans-serif"/>
          <w:b/>
          <w:i/>
          <w:color w:val="000000"/>
          <w:sz w:val="22"/>
        </w:rPr>
        <w:t>Legal Proceedings</w:t>
      </w:r>
    </w:p>
    <w:p>
      <w:pPr>
        <w:pStyle w:val="TextBody"/>
        <w:bidi w:val="0"/>
        <w:spacing w:before="0" w:after="0"/>
        <w:ind w:left="0" w:right="0" w:firstLine="225"/>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Refer to Note 11</w:t>
      </w:r>
      <w:r>
        <w:rPr>
          <w:rFonts w:ascii="Times New Roman;sans-serif" w:hAnsi="Times New Roman;sans-serif"/>
          <w:b w:val="false"/>
          <w:i/>
          <w:color w:val="000000"/>
          <w:sz w:val="22"/>
        </w:rPr>
        <w:t>, Commitments and Contingencies — Legal Matters,</w:t>
      </w:r>
      <w:r>
        <w:rPr>
          <w:color w:val="000000"/>
        </w:rPr>
        <w:t xml:space="preserve"> </w:t>
      </w:r>
      <w:r>
        <w:rPr>
          <w:rFonts w:ascii="Times New Roman;sans-serif" w:hAnsi="Times New Roman;sans-serif"/>
          <w:b w:val="false"/>
          <w:color w:val="000000"/>
          <w:sz w:val="22"/>
        </w:rPr>
        <w:t>of our Consolidated Financial Statements in Part I of this Quarterly Report on Form 10-Q.</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1A. </w:t>
      </w:r>
      <w:r>
        <w:rPr>
          <w:rFonts w:ascii="Times New Roman;sans-serif" w:hAnsi="Times New Roman;sans-serif"/>
          <w:b/>
          <w:i/>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There have been no material changes to the Risk Factors described in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in our Annual Report on Form 10-K for the year ended December 31, 2023.</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5. </w:t>
      </w:r>
      <w:r>
        <w:rPr>
          <w:rFonts w:ascii="Times New Roman;sans-serif" w:hAnsi="Times New Roman;sans-serif"/>
          <w:b/>
          <w:i/>
          <w:color w:val="000000"/>
          <w:sz w:val="22"/>
        </w:rPr>
        <w:t>Other Information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 of our directors or executive officers adopted or terminated a Rule 10b5-1 trading arrangement or a non-Rule 10b5-1 trading arrangement (as defined in Item 408(c) of Regulation S-K) during the period covered by this Quarterly Report on Form 10-Q.</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6. </w:t>
      </w:r>
      <w:r>
        <w:rPr>
          <w:rFonts w:ascii="Times New Roman;sans-serif" w:hAnsi="Times New Roman;sans-serif"/>
          <w:b/>
          <w:i/>
          <w:color w:val="000000"/>
          <w:sz w:val="22"/>
        </w:rPr>
        <w:t>Exhibits</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5"/>
        <w:gridCol w:w="177"/>
        <w:gridCol w:w="177"/>
        <w:gridCol w:w="2790"/>
        <w:gridCol w:w="2790"/>
        <w:gridCol w:w="3976"/>
      </w:tblGrid>
      <w:tr>
        <w:trPr/>
        <w:tc>
          <w:tcPr>
            <w:tcW w:w="2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 No.</w:t>
            </w:r>
          </w:p>
        </w:tc>
        <w:tc>
          <w:tcPr>
            <w:tcW w:w="9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80"/>
                  <w:sz w:val="20"/>
                  <w:u w:val="single"/>
                </w:rPr>
                <w:t>At Market Issuance Sales Agreement, dated as of February 9, 2024, by and between Centrus Energy Corp., B. Riley Securities, Inc., Lake Street Capital Markets, LLC, and Roth Capital Partners, LLC</w:t>
              </w:r>
            </w:hyperlink>
            <w:hyperlink r:id="rId5">
              <w:r>
                <w:rPr>
                  <w:rStyle w:val="InternetLink"/>
                  <w:rFonts w:ascii="Times New Roman;sans-serif" w:hAnsi="Times New Roman;sans-serif"/>
                  <w:b w:val="false"/>
                  <w:color w:val="000080"/>
                  <w:sz w:val="20"/>
                  <w:u w:val="single"/>
                </w:rPr>
                <w:t xml:space="preserve"> </w:t>
              </w:r>
            </w:hyperlink>
            <w:hyperlink r:id="rId6">
              <w:r>
                <w:rPr>
                  <w:rStyle w:val="InternetLink"/>
                  <w:rFonts w:ascii="Times New Roman;sans-serif" w:hAnsi="Times New Roman;sans-serif"/>
                  <w:b w:val="false"/>
                  <w:color w:val="000080"/>
                  <w:sz w:val="20"/>
                  <w:u w:val="single"/>
                </w:rPr>
                <w:t xml:space="preserve">(incorporated by reference to Exhibit 1.1 of the Company’s Current Report on Form 8-K, filed with the SEC on </w:t>
              </w:r>
            </w:hyperlink>
            <w:hyperlink r:id="rId7">
              <w:r>
                <w:rPr>
                  <w:rStyle w:val="InternetLink"/>
                  <w:rFonts w:ascii="Times New Roman;sans-serif" w:hAnsi="Times New Roman;sans-serif"/>
                  <w:b w:val="false"/>
                  <w:color w:val="000080"/>
                  <w:sz w:val="20"/>
                  <w:u w:val="single"/>
                </w:rPr>
                <w:t>February</w:t>
              </w:r>
            </w:hyperlink>
            <w:hyperlink r:id="rId8">
              <w:r>
                <w:rPr>
                  <w:rStyle w:val="InternetLink"/>
                  <w:rFonts w:ascii="Times New Roman;sans-serif" w:hAnsi="Times New Roman;sans-serif"/>
                  <w:b w:val="false"/>
                  <w:color w:val="000080"/>
                  <w:sz w:val="20"/>
                  <w:u w:val="single"/>
                </w:rPr>
                <w:t xml:space="preserve"> </w:t>
              </w:r>
            </w:hyperlink>
            <w:hyperlink r:id="rId9">
              <w:r>
                <w:rPr>
                  <w:rStyle w:val="InternetLink"/>
                  <w:rFonts w:ascii="Times New Roman;sans-serif" w:hAnsi="Times New Roman;sans-serif"/>
                  <w:b w:val="false"/>
                  <w:color w:val="000080"/>
                  <w:sz w:val="20"/>
                  <w:u w:val="single"/>
                </w:rPr>
                <w:t>12</w:t>
              </w:r>
            </w:hyperlink>
            <w:hyperlink r:id="rId10">
              <w:r>
                <w:rPr>
                  <w:rStyle w:val="InternetLink"/>
                  <w:rFonts w:ascii="Times New Roman;sans-serif" w:hAnsi="Times New Roman;sans-serif"/>
                  <w:b w:val="false"/>
                  <w:color w:val="000080"/>
                  <w:sz w:val="20"/>
                  <w:u w:val="single"/>
                </w:rPr>
                <w:t>, 202</w:t>
              </w:r>
            </w:hyperlink>
            <w:hyperlink r:id="rId11">
              <w:r>
                <w:rPr>
                  <w:rStyle w:val="InternetLink"/>
                  <w:rFonts w:ascii="Times New Roman;sans-serif" w:hAnsi="Times New Roman;sans-serif"/>
                  <w:b w:val="false"/>
                  <w:color w:val="000080"/>
                  <w:sz w:val="20"/>
                  <w:u w:val="single"/>
                </w:rPr>
                <w:t>4</w:t>
              </w:r>
            </w:hyperlink>
            <w:hyperlink r:id="rId12">
              <w:r>
                <w:rPr>
                  <w:rStyle w:val="InternetLink"/>
                  <w:rFonts w:ascii="Times New Roman;sans-serif" w:hAnsi="Times New Roman;sans-serif"/>
                  <w:b w:val="false"/>
                  <w:color w:val="000080"/>
                  <w:sz w:val="20"/>
                  <w:u w:val="single"/>
                </w:rPr>
                <w:t>)</w:t>
              </w:r>
            </w:hyperlink>
            <w:hyperlink r:id="rId13">
              <w:r>
                <w:rPr>
                  <w:rStyle w:val="InternetLink"/>
                  <w:rFonts w:ascii="Times New Roman;sans-serif" w:hAnsi="Times New Roman;sans-serif"/>
                  <w:b w:val="false"/>
                  <w:color w:val="000080"/>
                  <w:sz w:val="20"/>
                  <w:u w:val="single"/>
                </w:rPr>
                <w:t>.</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1x03312024xhal.htm">
              <w:r>
                <w:rPr>
                  <w:rStyle w:val="InternetLink"/>
                  <w:rFonts w:ascii="Times New Roman;sans-serif" w:hAnsi="Times New Roman;sans-serif"/>
                  <w:b w:val="false"/>
                  <w:color w:val="000080"/>
                  <w:sz w:val="20"/>
                  <w:u w:val="single"/>
                </w:rPr>
                <w:t xml:space="preserve">Modification </w:t>
              </w:r>
            </w:hyperlink>
            <w:hyperlink w:anchor="exhibit_101x03312024xhal.htm">
              <w:r>
                <w:rPr>
                  <w:rStyle w:val="InternetLink"/>
                  <w:rFonts w:ascii="Times New Roman;sans-serif" w:hAnsi="Times New Roman;sans-serif"/>
                  <w:b w:val="false"/>
                  <w:color w:val="000080"/>
                  <w:sz w:val="20"/>
                  <w:u w:val="single"/>
                </w:rPr>
                <w:t>7</w:t>
              </w:r>
            </w:hyperlink>
            <w:hyperlink w:anchor="exhibit_101x03312024xhal.htm">
              <w:r>
                <w:rPr>
                  <w:rStyle w:val="InternetLink"/>
                  <w:rFonts w:ascii="Times New Roman;sans-serif" w:hAnsi="Times New Roman;sans-serif"/>
                  <w:b w:val="false"/>
                  <w:color w:val="000080"/>
                  <w:sz w:val="20"/>
                  <w:u w:val="single"/>
                </w:rPr>
                <w:t xml:space="preserve"> to Agreement, dated </w:t>
              </w:r>
            </w:hyperlink>
            <w:hyperlink w:anchor="exhibit_101x03312024xhal.htm">
              <w:r>
                <w:rPr>
                  <w:rStyle w:val="InternetLink"/>
                  <w:rFonts w:ascii="Times New Roman;sans-serif" w:hAnsi="Times New Roman;sans-serif"/>
                  <w:b w:val="false"/>
                  <w:color w:val="000080"/>
                  <w:sz w:val="20"/>
                  <w:u w:val="single"/>
                </w:rPr>
                <w:t>April</w:t>
              </w:r>
            </w:hyperlink>
            <w:hyperlink w:anchor="exhibit_101x03312024xhal.htm">
              <w:r>
                <w:rPr>
                  <w:rStyle w:val="InternetLink"/>
                  <w:rFonts w:ascii="Times New Roman;sans-serif" w:hAnsi="Times New Roman;sans-serif"/>
                  <w:b w:val="false"/>
                  <w:color w:val="000080"/>
                  <w:sz w:val="20"/>
                  <w:u w:val="single"/>
                </w:rPr>
                <w:t xml:space="preserve"> </w:t>
              </w:r>
            </w:hyperlink>
            <w:hyperlink w:anchor="exhibit_101x03312024xhal.htm">
              <w:r>
                <w:rPr>
                  <w:rStyle w:val="InternetLink"/>
                  <w:rFonts w:ascii="Times New Roman;sans-serif" w:hAnsi="Times New Roman;sans-serif"/>
                  <w:b w:val="false"/>
                  <w:color w:val="000080"/>
                  <w:sz w:val="20"/>
                  <w:u w:val="single"/>
                </w:rPr>
                <w:t>4</w:t>
              </w:r>
            </w:hyperlink>
            <w:hyperlink w:anchor="exhibit_101x03312024xhal.htm">
              <w:r>
                <w:rPr>
                  <w:rStyle w:val="InternetLink"/>
                  <w:rFonts w:ascii="Times New Roman;sans-serif" w:hAnsi="Times New Roman;sans-serif"/>
                  <w:b w:val="false"/>
                  <w:color w:val="000080"/>
                  <w:sz w:val="20"/>
                  <w:u w:val="single"/>
                </w:rPr>
                <w:t>, 202</w:t>
              </w:r>
            </w:hyperlink>
            <w:hyperlink w:anchor="exhibit_101x03312024xhal.htm">
              <w:r>
                <w:rPr>
                  <w:rStyle w:val="InternetLink"/>
                  <w:rFonts w:ascii="Times New Roman;sans-serif" w:hAnsi="Times New Roman;sans-serif"/>
                  <w:b w:val="false"/>
                  <w:color w:val="000080"/>
                  <w:sz w:val="20"/>
                  <w:u w:val="single"/>
                </w:rPr>
                <w:t>4</w:t>
              </w:r>
            </w:hyperlink>
            <w:hyperlink w:anchor="exhibit_101x03312024xhal.htm">
              <w:r>
                <w:rPr>
                  <w:rStyle w:val="InternetLink"/>
                  <w:rFonts w:ascii="Times New Roman;sans-serif" w:hAnsi="Times New Roman;sans-serif"/>
                  <w:b w:val="false"/>
                  <w:color w:val="000080"/>
                  <w:sz w:val="20"/>
                  <w:u w:val="single"/>
                </w:rPr>
                <w:t>, by and between American Centrifuge Operating, LLC and the U.S. Department of Energy. (a)</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2x03312024xhal.htm">
              <w:r>
                <w:rPr>
                  <w:rStyle w:val="InternetLink"/>
                  <w:rFonts w:ascii="Times New Roman;sans-serif" w:hAnsi="Times New Roman;sans-serif"/>
                  <w:b w:val="false"/>
                  <w:color w:val="000080"/>
                  <w:sz w:val="20"/>
                  <w:u w:val="single"/>
                </w:rPr>
                <w:t xml:space="preserve">Modification </w:t>
              </w:r>
            </w:hyperlink>
            <w:hyperlink w:anchor="exhibit_102x03312024xhal.htm">
              <w:r>
                <w:rPr>
                  <w:rStyle w:val="InternetLink"/>
                  <w:rFonts w:ascii="Times New Roman;sans-serif" w:hAnsi="Times New Roman;sans-serif"/>
                  <w:b w:val="false"/>
                  <w:color w:val="000080"/>
                  <w:sz w:val="20"/>
                  <w:u w:val="single"/>
                </w:rPr>
                <w:t>8</w:t>
              </w:r>
            </w:hyperlink>
            <w:hyperlink w:anchor="exhibit_102x03312024xhal.htm">
              <w:r>
                <w:rPr>
                  <w:rStyle w:val="InternetLink"/>
                  <w:rFonts w:ascii="Times New Roman;sans-serif" w:hAnsi="Times New Roman;sans-serif"/>
                  <w:b w:val="false"/>
                  <w:color w:val="000080"/>
                  <w:sz w:val="20"/>
                  <w:u w:val="single"/>
                </w:rPr>
                <w:t xml:space="preserve"> to Agreement, dated April </w:t>
              </w:r>
            </w:hyperlink>
            <w:hyperlink w:anchor="exhibit_102x03312024xhal.htm">
              <w:r>
                <w:rPr>
                  <w:rStyle w:val="InternetLink"/>
                  <w:rFonts w:ascii="Times New Roman;sans-serif" w:hAnsi="Times New Roman;sans-serif"/>
                  <w:b w:val="false"/>
                  <w:color w:val="000080"/>
                  <w:sz w:val="20"/>
                  <w:u w:val="single"/>
                </w:rPr>
                <w:t>29</w:t>
              </w:r>
            </w:hyperlink>
            <w:hyperlink w:anchor="exhibit_102x03312024xhal.htm">
              <w:r>
                <w:rPr>
                  <w:rStyle w:val="InternetLink"/>
                  <w:rFonts w:ascii="Times New Roman;sans-serif" w:hAnsi="Times New Roman;sans-serif"/>
                  <w:b w:val="false"/>
                  <w:color w:val="000080"/>
                  <w:sz w:val="20"/>
                  <w:u w:val="single"/>
                </w:rPr>
                <w:t>, 2024, by and between American Centrifuge Operating, LLC and the U.S. Department of Energy. (a)</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vAlign w:val="center"/>
          </w:tcPr>
          <w:p>
            <w:pPr>
              <w:pStyle w:val="TableContents"/>
              <w:bidi w:val="0"/>
              <w:spacing w:before="0" w:after="283"/>
              <w:jc w:val="left"/>
              <w:rPr>
                <w:sz w:val="4"/>
                <w:szCs w:val="4"/>
              </w:rPr>
            </w:pPr>
            <w:r>
              <w:rPr>
                <w:sz w:val="4"/>
                <w:szCs w:val="4"/>
              </w:rPr>
            </w:r>
          </w:p>
        </w:tc>
        <w:tc>
          <w:tcPr>
            <w:tcW w:w="9556" w:type="dxa"/>
            <w:gridSpan w:val="3"/>
            <w:tcBorders/>
            <w:vAlign w:val="center"/>
          </w:tcPr>
          <w:p>
            <w:pPr>
              <w:pStyle w:val="TableContents"/>
              <w:bidi w:val="0"/>
              <w:spacing w:before="0" w:after="283"/>
              <w:jc w:val="left"/>
              <w:rPr>
                <w:sz w:val="4"/>
                <w:szCs w:val="4"/>
              </w:rPr>
            </w:pPr>
            <w:r>
              <w:rPr>
                <w:sz w:val="4"/>
                <w:szCs w:val="4"/>
              </w:rPr>
            </w:r>
          </w:p>
        </w:tc>
      </w:tr>
      <w:tr>
        <w:trPr/>
        <w:tc>
          <w:tcPr>
            <w:tcW w:w="649" w:type="dxa"/>
            <w:gridSpan w:val="3"/>
            <w:tcBorders/>
            <w:vAlign w:val="center"/>
          </w:tcPr>
          <w:p>
            <w:pPr>
              <w:pStyle w:val="TableContents"/>
              <w:bidi w:val="0"/>
              <w:spacing w:before="0" w:after="283"/>
              <w:jc w:val="left"/>
              <w:rPr>
                <w:sz w:val="4"/>
                <w:szCs w:val="4"/>
              </w:rPr>
            </w:pPr>
            <w:r>
              <w:rPr>
                <w:sz w:val="4"/>
                <w:szCs w:val="4"/>
              </w:rPr>
            </w:r>
          </w:p>
        </w:tc>
        <w:tc>
          <w:tcPr>
            <w:tcW w:w="9556" w:type="dxa"/>
            <w:gridSpan w:val="3"/>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1x20240331.htm">
              <w:r>
                <w:rPr>
                  <w:rStyle w:val="InternetLink"/>
                  <w:rFonts w:ascii="Times New Roman;sans-serif" w:hAnsi="Times New Roman;sans-serif"/>
                  <w:b w:val="false"/>
                  <w:color w:val="0000FF"/>
                  <w:sz w:val="20"/>
                  <w:u w:val="single"/>
                </w:rPr>
                <w:t>Certification of the Chief Executive Officer pursuant to Rule 13a-14(a)/15d-14(a). (a)</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2x20240331.htm">
              <w:r>
                <w:rPr>
                  <w:rStyle w:val="InternetLink"/>
                  <w:rFonts w:ascii="Times New Roman;sans-serif" w:hAnsi="Times New Roman;sans-serif"/>
                  <w:b w:val="false"/>
                  <w:color w:val="0000FF"/>
                  <w:sz w:val="20"/>
                  <w:u w:val="single"/>
                </w:rPr>
                <w:t>Certification of the Chief Financial Officer pursuant to Rule 13a-14(a)/15d-14(a). (a)</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21x20240331.htm">
              <w:r>
                <w:rPr>
                  <w:rStyle w:val="InternetLink"/>
                  <w:rFonts w:ascii="Times New Roman;sans-serif" w:hAnsi="Times New Roman;sans-serif"/>
                  <w:b w:val="false"/>
                  <w:color w:val="0000FF"/>
                  <w:sz w:val="20"/>
                  <w:u w:val="single"/>
                </w:rPr>
                <w:t>Certification of Chief Executive Officer and Chief Financial Officer pursuant to 18 U.S.C. Section 1350. (a)</w:t>
              </w:r>
            </w:hyperlink>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Consolidated Financial Statements from the Quarterly Report on Form 10-Q for the quarter ended March 31, 2024, filed in interactive data file (formatted as Inline XBRL).</w:t>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Section 13 or 15(d) of the Securities Exchange Act of 1934, the registrant has duly caused this report to be signed on its behalf by the undersigned, thereunto duly authorized.</w:t>
      </w:r>
    </w:p>
    <w:tbl>
      <w:tblPr>
        <w:tblW w:w="6703" w:type="dxa"/>
        <w:jc w:val="left"/>
        <w:tblInd w:w="0" w:type="dxa"/>
        <w:tblLayout w:type="fixed"/>
        <w:tblCellMar>
          <w:top w:w="28" w:type="dxa"/>
          <w:left w:w="28" w:type="dxa"/>
          <w:bottom w:w="28" w:type="dxa"/>
          <w:right w:w="28" w:type="dxa"/>
        </w:tblCellMar>
      </w:tblPr>
      <w:tblGrid>
        <w:gridCol w:w="478"/>
        <w:gridCol w:w="419"/>
        <w:gridCol w:w="422"/>
        <w:gridCol w:w="1576"/>
        <w:gridCol w:w="1576"/>
        <w:gridCol w:w="2232"/>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Centrus Energy Corp.</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2024</w:t>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Kevin J. Harrill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Kevin J. Harrill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Senior Vice President, Chief Financial Officer, and Treasurer</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(Duly Authorized Officer and Principal Financial Officer)</w:t>
            </w:r>
          </w:p>
        </w:tc>
      </w:tr>
    </w:tbl>
    <w:p>
      <w:pPr>
        <w:pStyle w:val="TextBody"/>
        <w:bidi w:val="0"/>
        <w:jc w:val="left"/>
        <w:rPr/>
      </w:pPr>
      <w:r>
        <w:rPr/>
      </w:r>
    </w:p>
    <w:p>
      <w:pPr>
        <w:pStyle w:val="TextBody"/>
        <w:bidi w:val="0"/>
        <w:spacing w:before="0" w:after="0"/>
        <w:jc w:val="center"/>
        <w:rPr/>
      </w:pPr>
      <w:bookmarkStart w:id="0" w:name="exhibit_101x03312024xhal.htm"/>
      <w:bookmarkStart w:id="1" w:name="ksexhibit_101x03312024xhal"/>
      <w:bookmarkEnd w:id="0"/>
      <w:bookmarkEnd w:id="1"/>
      <w:r>
        <w:rPr/>
        <w:drawing>
          <wp:inline distT="0" distB="0" distL="0" distR="0">
            <wp:extent cx="10048875" cy="13001625"/>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24NE000127See Block 16CP00007 21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Net Increase: $4,756,181.53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Incremental Funding; FAR 52.232-22 Limitation of Funds; x 14. DESCRIPTION OF AMENDMENT/MODIFICATION (Organized by UCF section headings, including solicitation/contract subject matter where feasible.) X UEI: L8VHV5CNBV97 The purpose of this amendment to the Contract is to: 1. Provide Incremental Funding to CLIN 0002 in the amount of $4,756,181.53, changing the total obligation from $24,525,264.10 to $29,281,445.63. 2. Update the Corporate Board of Directors for Centrus Energy to reflect a change in their CEO from Daniel B. Poneman to Amir Vexler under clause DOE-H-2017 RESPONSIBLE CORPORATE OFFICIAL AND CORPORATE BOARD OF DIRECTORS (OCT 2014)(pg. 43) and attachment J-H. Neil S. Subin is also removed from attachment J-H. Continued ... 16A. NAME AND TITLE OF CONTRACTING OFFICER (Type or print)15A. NAME AND TITLE OF SIGNER (Type or print) 15C. DATE SIGNED 16B. UNITED STATES OF AMERICA 15B. CONTRACTOR/OFFEROR 16C. DATE SIGNED (Signature of person authorized to sign) (Signature of Contracting Officer) Andrew J. Ford STANDARD FORM 30 (REV. 11/2016) Prescribed by GSA FAR (48 CFR) 53.243 Previous edition unusable Except as provided herein, all terms and conditions of the document referenced in Item 9 A or 10A, as heretofore changed, remains unchanged and in full force and effect . 04/04/2024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2 CONTINUATION SHEET REFERENCE NO. OF DOCUMENT BEING CONTINUED PAGE OF AMERICAN CENTRIFUGE OPERATING, LLC (A) (B) (C) (D) (E) (F) 89243223CNE000030/P00007 See attachment Contract 89243223CNE000030 Rev. 06.pdf All other terms and conditions remain the same. Payment: OR for Idaho https://vipers.doe.gov Any questions, please contact by call/email 855-384-7377 or VipersSupport@hq.doe.gov Period of Performance: 12/01/2022 to 12/31/2024 Change Item 00002 to read as follows(amount shown is the total amount): 00002 Ongoing Cascade Operation and Production of 900 90,689,166.00 kg minimum of HALEU, Year 1 (Phase 2) Line item value is: $90,689,166.00 Incrementally Funded Amount: $29,281,445.63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$4,756,181.53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_102x03312024xhal.htm"/>
      <w:bookmarkStart w:id="3" w:name="ksexhibit_102x03312024xhal"/>
      <w:bookmarkEnd w:id="2"/>
      <w:bookmarkEnd w:id="3"/>
      <w:r>
        <w:rPr/>
        <w:drawing>
          <wp:inline distT="0" distB="0" distL="0" distR="0">
            <wp:extent cx="10048875" cy="13001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24NE000161See Block 16CP00008 31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Net Increase: $9,799,429.60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Incremental Funding; FAR 52.232-22 Limitation of Funds; x 14. DESCRIPTION OF AMENDMENT/MODIFICATION (Organized by UCF section headings, including solicitation/contract subject matter where feasible.) X UEI: L8VHV5CNBV97 The purpose of this amendment to the Contract is to: 1. Provide Incremental Funding to CLIN 0002 in the amount of $9,799,429.60, changing the total obligation from $29,281,445.63 to 39,080,875.23. See attachment Contract 89243223CNE000030 Rev. 07.pdf All other terms and conditions remain the same. Continued ... 16A. NAME AND TITLE OF CONTRACTING OFFICER (Type or print)15A. NAME AND TITLE OF SIGNER (Type or print) 15C. DATE SIGNED 16B. UNITED STATES OF AMERICA 15B. CONTRACTOR/OFFEROR 16C. DATE SIGNED (Signature of person authorized to sign) (Signature of Contracting Officer) Andrew J. Ford STANDARD FORM 30 (REV. 11/2016) Prescribed by GSA FAR (48 CFR) 53.243 Previous edition unusable Except as provided herein, all terms and conditions of the document referenced in Item 9 A or 10A, as heretofore changed, remains unchanged and in full force and effect . 04/29/2024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3 CONTINUATION SHEET REFERENCE NO. OF DOCUMENT BEING CONTINUED PAGE OF AMERICAN CENTRIFUGE OPERATING, LLC (A) (B) (C) (D) (E) (F) 89243223CNE000030/P00008 Payment: OR for Idaho https://vipers.doe.gov Any questions, please contact by call/email 855-384-7377 or VipersSupport@hq.doe.gov Period of Performance: 12/01/2022 to 12/31/2024 Change Item 00002 to read as follows(amount shown is the total amount): 00002 Ongoing Cascade Operation and Production of 900 90,689,166.00 kg minimum of HALEU, Year 1 (Phase 2) Line item value is: $90,689,166.00 Incrementally Funded Amount: $39,080,875.23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3 3 CONTINUATION SHEET REFERENCE NO. OF DOCUMENT BEING CONTINUED PAGE OF AMERICAN CENTRIFUGE OPERATING, LLC (A) (B) (C) (D) (E) (F) 89243223CNE000030/P00008 Funded: $9,799,429.60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Amir V. Vexler,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65" w:type="dxa"/>
        <w:jc w:val="left"/>
        <w:tblInd w:w="0" w:type="dxa"/>
        <w:tblLayout w:type="fixed"/>
        <w:tblCellMar>
          <w:top w:w="28" w:type="dxa"/>
          <w:left w:w="28" w:type="dxa"/>
          <w:bottom w:w="28" w:type="dxa"/>
          <w:right w:w="28" w:type="dxa"/>
        </w:tblCellMar>
      </w:tblPr>
      <w:tblGrid>
        <w:gridCol w:w="417"/>
        <w:gridCol w:w="368"/>
        <w:gridCol w:w="370"/>
        <w:gridCol w:w="938"/>
        <w:gridCol w:w="938"/>
        <w:gridCol w:w="133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8,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Kevin J. Harrill,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80" w:type="dxa"/>
        <w:jc w:val="left"/>
        <w:tblInd w:w="0" w:type="dxa"/>
        <w:tblLayout w:type="fixed"/>
        <w:tblCellMar>
          <w:top w:w="28" w:type="dxa"/>
          <w:left w:w="28" w:type="dxa"/>
          <w:bottom w:w="28" w:type="dxa"/>
          <w:right w:w="28" w:type="dxa"/>
        </w:tblCellMar>
      </w:tblPr>
      <w:tblGrid>
        <w:gridCol w:w="417"/>
        <w:gridCol w:w="368"/>
        <w:gridCol w:w="370"/>
        <w:gridCol w:w="1471"/>
        <w:gridCol w:w="1471"/>
        <w:gridCol w:w="2083"/>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8, 2024</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CEO AND CFO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Centrus Energy Corp. for the period ended March 31, 2024, as filed with the Securities and Exchange Commission on the date hereof (the “Report”), pursuant to 18 U.S.C. § 1350, Amir V. Vexler, President and Chief Executive Officer, and Kevin J. Harrill, Senior Vice President, Chief Financial Officer, and Treasurer, each hereby certifies, that, to his knowledge:</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Centrus Energy Corp.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00"/>
        <w:jc w:val="left"/>
        <w:rPr/>
      </w:pPr>
      <w:r>
        <w:rPr/>
      </w:r>
    </w:p>
    <w:tbl>
      <w:tblPr>
        <w:tblW w:w="4365" w:type="dxa"/>
        <w:jc w:val="left"/>
        <w:tblInd w:w="0" w:type="dxa"/>
        <w:tblLayout w:type="fixed"/>
        <w:tblCellMar>
          <w:top w:w="28" w:type="dxa"/>
          <w:left w:w="28" w:type="dxa"/>
          <w:bottom w:w="28" w:type="dxa"/>
          <w:right w:w="28" w:type="dxa"/>
        </w:tblCellMar>
      </w:tblPr>
      <w:tblGrid>
        <w:gridCol w:w="417"/>
        <w:gridCol w:w="368"/>
        <w:gridCol w:w="370"/>
        <w:gridCol w:w="938"/>
        <w:gridCol w:w="938"/>
        <w:gridCol w:w="133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8, 2024</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100"/>
        <w:jc w:val="left"/>
        <w:rPr/>
      </w:pPr>
      <w:r>
        <w:rPr/>
      </w:r>
    </w:p>
    <w:tbl>
      <w:tblPr>
        <w:tblW w:w="6180" w:type="dxa"/>
        <w:jc w:val="left"/>
        <w:tblInd w:w="0" w:type="dxa"/>
        <w:tblLayout w:type="fixed"/>
        <w:tblCellMar>
          <w:top w:w="28" w:type="dxa"/>
          <w:left w:w="28" w:type="dxa"/>
          <w:bottom w:w="28" w:type="dxa"/>
          <w:right w:w="28" w:type="dxa"/>
        </w:tblCellMar>
      </w:tblPr>
      <w:tblGrid>
        <w:gridCol w:w="417"/>
        <w:gridCol w:w="368"/>
        <w:gridCol w:w="370"/>
        <w:gridCol w:w="1471"/>
        <w:gridCol w:w="1471"/>
        <w:gridCol w:w="2083"/>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8, 2024</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65059/000110465924013461/tm245723d1_ex1-1.htm" TargetMode="External"/><Relationship Id="rId5" Type="http://schemas.openxmlformats.org/officeDocument/2006/relationships/hyperlink" Target="https://www.sec.gov/Archives/edgar/data/1065059/000110465924013461/tm245723d1_ex1-1.htm" TargetMode="External"/><Relationship Id="rId6" Type="http://schemas.openxmlformats.org/officeDocument/2006/relationships/hyperlink" Target="https://www.sec.gov/Archives/edgar/data/1065059/000110465924013461/tm245723d1_ex1-1.htm" TargetMode="External"/><Relationship Id="rId7" Type="http://schemas.openxmlformats.org/officeDocument/2006/relationships/hyperlink" Target="https://www.sec.gov/Archives/edgar/data/1065059/000110465924013461/tm245723d1_ex1-1.htm" TargetMode="External"/><Relationship Id="rId8" Type="http://schemas.openxmlformats.org/officeDocument/2006/relationships/hyperlink" Target="https://www.sec.gov/Archives/edgar/data/1065059/000110465924013461/tm245723d1_ex1-1.htm" TargetMode="External"/><Relationship Id="rId9" Type="http://schemas.openxmlformats.org/officeDocument/2006/relationships/hyperlink" Target="https://www.sec.gov/Archives/edgar/data/1065059/000110465924013461/tm245723d1_ex1-1.htm" TargetMode="External"/><Relationship Id="rId10" Type="http://schemas.openxmlformats.org/officeDocument/2006/relationships/hyperlink" Target="https://www.sec.gov/Archives/edgar/data/1065059/000110465924013461/tm245723d1_ex1-1.htm" TargetMode="External"/><Relationship Id="rId11" Type="http://schemas.openxmlformats.org/officeDocument/2006/relationships/hyperlink" Target="https://www.sec.gov/Archives/edgar/data/1065059/000110465924013461/tm245723d1_ex1-1.htm" TargetMode="External"/><Relationship Id="rId12" Type="http://schemas.openxmlformats.org/officeDocument/2006/relationships/hyperlink" Target="https://www.sec.gov/Archives/edgar/data/1065059/000110465924013461/tm245723d1_ex1-1.htm" TargetMode="External"/><Relationship Id="rId13" Type="http://schemas.openxmlformats.org/officeDocument/2006/relationships/hyperlink" Target="https://www.sec.gov/Archives/edgar/data/1065059/000110465924013461/tm245723d1_ex1-1.htm" TargetMode="External"/><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23544</Words>
  <Characters>129221</Characters>
  <CharactersWithSpaces>151793</CharactersWithSpaces>
  <Paragraphs>1849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exhibit_102x03312024xhal</dc:title>
</cp:coreProperties>
</file>