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648335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2" w:lineRule="exact"/>
        <w:rPr>
          <w:sz w:val="24"/>
          <w:szCs w:val="24"/>
          <w:color w:val="auto"/>
        </w:rPr>
      </w:pPr>
    </w:p>
    <w:p>
      <w:pPr>
        <w:ind w:left="2340" w:hanging="289"/>
        <w:spacing w:after="0"/>
        <w:tabs>
          <w:tab w:leader="none" w:pos="2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15" w:lineRule="exact"/>
        <w:rPr>
          <w:sz w:val="24"/>
          <w:szCs w:val="24"/>
          <w:color w:val="auto"/>
        </w:rPr>
      </w:pPr>
    </w:p>
    <w:p>
      <w:pPr>
        <w:ind w:left="2340" w:hanging="289"/>
        <w:spacing w:after="0"/>
        <w:tabs>
          <w:tab w:leader="none" w:pos="2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08" w:lineRule="exact"/>
        <w:rPr>
          <w:sz w:val="24"/>
          <w:szCs w:val="24"/>
          <w:color w:val="auto"/>
        </w:rPr>
      </w:pPr>
    </w:p>
    <w:tbl>
      <w:tblPr>
        <w:tblLayout w:type="fixed"/>
        <w:tblInd w:w="26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Commission file number 1-14287</w:t>
            </w: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52"/>
        </w:trPr>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60" w:type="dxa"/>
            <w:vAlign w:val="bottom"/>
            <w:gridSpan w:val="3"/>
          </w:tcPr>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Centrus Energy Corp.</w:t>
            </w: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1700" w:type="dxa"/>
            <w:vAlign w:val="bottom"/>
          </w:tcPr>
          <w:p>
            <w:pPr>
              <w:spacing w:after="0"/>
              <w:rPr>
                <w:sz w:val="21"/>
                <w:szCs w:val="21"/>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60" w:type="dxa"/>
            <w:vAlign w:val="bottom"/>
            <w:gridSpan w:val="2"/>
          </w:tcPr>
          <w:p>
            <w:pPr>
              <w:jc w:val="right"/>
              <w:ind w:right="1175"/>
              <w:spacing w:after="0"/>
              <w:rPr>
                <w:sz w:val="20"/>
                <w:szCs w:val="20"/>
                <w:color w:val="auto"/>
              </w:rPr>
            </w:pPr>
            <w:r>
              <w:rPr>
                <w:rFonts w:ascii="Times New Roman" w:cs="Times New Roman" w:eastAsia="Times New Roman" w:hAnsi="Times New Roman"/>
                <w:sz w:val="13"/>
                <w:szCs w:val="13"/>
                <w:b w:val="1"/>
                <w:bCs w:val="1"/>
                <w:color w:val="auto"/>
              </w:rPr>
              <w:t>52-2107911</w:t>
            </w:r>
          </w:p>
        </w:tc>
      </w:tr>
      <w:tr>
        <w:trPr>
          <w:trHeight w:val="178"/>
        </w:trPr>
        <w:tc>
          <w:tcPr>
            <w:tcW w:w="1700" w:type="dxa"/>
            <w:vAlign w:val="bottom"/>
          </w:tcPr>
          <w:p>
            <w:pPr>
              <w:spacing w:after="0"/>
              <w:rPr>
                <w:sz w:val="15"/>
                <w:szCs w:val="15"/>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i w:val="1"/>
                <w:iCs w:val="1"/>
                <w:color w:val="auto"/>
                <w:w w:val="97"/>
              </w:rPr>
              <w:t>(State of incorporation)</w:t>
            </w: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jc w:val="center"/>
              <w:ind w:right="575"/>
              <w:spacing w:after="0"/>
              <w:rPr>
                <w:sz w:val="20"/>
                <w:szCs w:val="20"/>
                <w:color w:val="auto"/>
              </w:rPr>
            </w:pPr>
            <w:r>
              <w:rPr>
                <w:rFonts w:ascii="Times New Roman" w:cs="Times New Roman" w:eastAsia="Times New Roman" w:hAnsi="Times New Roman"/>
                <w:sz w:val="13"/>
                <w:szCs w:val="13"/>
                <w:i w:val="1"/>
                <w:iCs w:val="1"/>
                <w:color w:val="auto"/>
                <w:w w:val="97"/>
              </w:rPr>
              <w:t>(I.R.S. Employer Identification No.)</w:t>
            </w:r>
          </w:p>
        </w:tc>
      </w:tr>
      <w:tr>
        <w:trPr>
          <w:trHeight w:val="217"/>
        </w:trPr>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6901 Rockledge Drive, Suite 800, Bethesda, Maryland 20817</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8"/>
        </w:trPr>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gridSpan w:val="2"/>
          </w:tcPr>
          <w:p>
            <w:pPr>
              <w:jc w:val="center"/>
              <w:ind w:left="1140"/>
              <w:spacing w:after="0"/>
              <w:rPr>
                <w:sz w:val="20"/>
                <w:szCs w:val="20"/>
                <w:color w:val="auto"/>
              </w:rPr>
            </w:pPr>
            <w:r>
              <w:rPr>
                <w:rFonts w:ascii="Times New Roman" w:cs="Times New Roman" w:eastAsia="Times New Roman" w:hAnsi="Times New Roman"/>
                <w:sz w:val="13"/>
                <w:szCs w:val="13"/>
                <w:b w:val="1"/>
                <w:bCs w:val="1"/>
                <w:color w:val="auto"/>
              </w:rPr>
              <w:t>(301) 564-3200</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02"/>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3"/>
        </w:trPr>
        <w:tc>
          <w:tcPr>
            <w:tcW w:w="17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900" w:type="dxa"/>
            <w:vAlign w:val="bottom"/>
          </w:tcPr>
          <w:p>
            <w:pPr>
              <w:spacing w:after="0"/>
              <w:rPr>
                <w:sz w:val="16"/>
                <w:szCs w:val="16"/>
                <w:color w:val="auto"/>
              </w:rPr>
            </w:pPr>
          </w:p>
        </w:tc>
        <w:tc>
          <w:tcPr>
            <w:tcW w:w="3560" w:type="dxa"/>
            <w:vAlign w:val="bottom"/>
            <w:gridSpan w:val="3"/>
          </w:tcPr>
          <w:p>
            <w:pPr>
              <w:jc w:val="center"/>
              <w:ind w:left="100"/>
              <w:spacing w:after="0"/>
              <w:rPr>
                <w:sz w:val="20"/>
                <w:szCs w:val="20"/>
                <w:color w:val="auto"/>
              </w:rPr>
            </w:pPr>
            <w:r>
              <w:rPr>
                <w:rFonts w:ascii="Times New Roman" w:cs="Times New Roman" w:eastAsia="Times New Roman" w:hAnsi="Times New Roman"/>
                <w:sz w:val="13"/>
                <w:szCs w:val="13"/>
                <w:color w:val="auto"/>
              </w:rPr>
              <w:t>Trading Symbol</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0"/>
        </w:trPr>
        <w:tc>
          <w:tcPr>
            <w:tcW w:w="3620" w:type="dxa"/>
            <w:vAlign w:val="bottom"/>
            <w:gridSpan w:val="3"/>
          </w:tcPr>
          <w:p>
            <w:pPr>
              <w:jc w:val="center"/>
              <w:ind w:left="713"/>
              <w:spacing w:after="0"/>
              <w:rPr>
                <w:sz w:val="20"/>
                <w:szCs w:val="20"/>
                <w:color w:val="auto"/>
              </w:rPr>
            </w:pPr>
            <w:r>
              <w:rPr>
                <w:rFonts w:ascii="Times New Roman" w:cs="Times New Roman" w:eastAsia="Times New Roman" w:hAnsi="Times New Roman"/>
                <w:sz w:val="13"/>
                <w:szCs w:val="13"/>
                <w:color w:val="auto"/>
              </w:rPr>
              <w:t>Class A Common Stock, par value $0.10 per share</w:t>
            </w:r>
          </w:p>
        </w:tc>
        <w:tc>
          <w:tcPr>
            <w:tcW w:w="1440" w:type="dxa"/>
            <w:vAlign w:val="bottom"/>
          </w:tcPr>
          <w:p>
            <w:pPr>
              <w:spacing w:after="0"/>
              <w:rPr>
                <w:sz w:val="16"/>
                <w:szCs w:val="16"/>
                <w:color w:val="auto"/>
              </w:rPr>
            </w:pPr>
          </w:p>
        </w:tc>
        <w:tc>
          <w:tcPr>
            <w:tcW w:w="2120" w:type="dxa"/>
            <w:vAlign w:val="bottom"/>
            <w:gridSpan w:val="2"/>
          </w:tcPr>
          <w:p>
            <w:pPr>
              <w:jc w:val="center"/>
              <w:ind w:right="1260"/>
              <w:spacing w:after="0"/>
              <w:rPr>
                <w:sz w:val="20"/>
                <w:szCs w:val="20"/>
                <w:color w:val="auto"/>
              </w:rPr>
            </w:pPr>
            <w:r>
              <w:rPr>
                <w:rFonts w:ascii="Times New Roman" w:cs="Times New Roman" w:eastAsia="Times New Roman" w:hAnsi="Times New Roman"/>
                <w:sz w:val="13"/>
                <w:szCs w:val="13"/>
                <w:color w:val="auto"/>
              </w:rPr>
              <w:t>LEU</w:t>
            </w:r>
          </w:p>
        </w:tc>
        <w:tc>
          <w:tcPr>
            <w:tcW w:w="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 American</w:t>
            </w:r>
          </w:p>
        </w:tc>
      </w:tr>
    </w:tbl>
    <w:p>
      <w:pPr>
        <w:spacing w:after="0" w:line="261" w:lineRule="exact"/>
        <w:rPr>
          <w:sz w:val="24"/>
          <w:szCs w:val="24"/>
          <w:color w:val="auto"/>
        </w:rPr>
      </w:pPr>
    </w:p>
    <w:p>
      <w:pPr>
        <w:ind w:right="40" w:firstLine="255"/>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firstLine="255"/>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firstLine="255"/>
        <w:spacing w:after="0" w:line="28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00" w:top="1084" w:right="339" w:bottom="1440" w:gutter="0" w:footer="0" w:header="0"/>
        </w:sectPr>
      </w:pPr>
    </w:p>
    <w:p>
      <w:pPr>
        <w:spacing w:after="0" w:line="52" w:lineRule="exact"/>
        <w:rPr>
          <w:sz w:val="24"/>
          <w:szCs w:val="24"/>
          <w:color w:val="auto"/>
        </w:rPr>
      </w:pPr>
    </w:p>
    <w:p>
      <w:pPr>
        <w:ind w:left="20" w:right="560"/>
        <w:spacing w:after="0" w:line="328" w:lineRule="auto"/>
        <w:rPr>
          <w:sz w:val="20"/>
          <w:szCs w:val="20"/>
          <w:color w:val="auto"/>
        </w:rPr>
      </w:pPr>
      <w:r>
        <w:rPr>
          <w:rFonts w:ascii="Times New Roman" w:cs="Times New Roman" w:eastAsia="Times New Roman" w:hAnsi="Times New Roman"/>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9" w:lineRule="exact"/>
        <w:rPr>
          <w:sz w:val="24"/>
          <w:szCs w:val="24"/>
          <w:color w:val="auto"/>
        </w:rPr>
      </w:pPr>
    </w:p>
    <w:p>
      <w:pPr>
        <w:sectPr>
          <w:pgSz w:w="11900" w:h="16838" w:orient="portrait"/>
          <w:cols w:equalWidth="0" w:num="6">
            <w:col w:w="2040" w:space="720"/>
            <w:col w:w="120" w:space="680"/>
            <w:col w:w="2040" w:space="720"/>
            <w:col w:w="120" w:space="700"/>
            <w:col w:w="2020" w:space="720"/>
            <w:col w:w="1380"/>
          </w:cols>
          <w:pgMar w:left="300" w:top="1084" w:right="339" w:bottom="1440" w:gutter="0" w:footer="0" w:header="0"/>
          <w:type w:val="continuous"/>
        </w:sectPr>
      </w:pPr>
    </w:p>
    <w:p>
      <w:pPr>
        <w:spacing w:after="0" w:line="7" w:lineRule="exact"/>
        <w:rPr>
          <w:sz w:val="24"/>
          <w:szCs w:val="24"/>
          <w:color w:val="auto"/>
        </w:rPr>
      </w:pPr>
    </w:p>
    <w:p>
      <w:pPr>
        <w:ind w:firstLine="255"/>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260"/>
        <w:spacing w:after="0" w:line="150" w:lineRule="exact"/>
        <w:tabs>
          <w:tab w:leader="none" w:pos="69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5" w:lineRule="exact"/>
        <w:rPr>
          <w:sz w:val="24"/>
          <w:szCs w:val="24"/>
          <w:color w:val="auto"/>
        </w:rPr>
      </w:pPr>
    </w:p>
    <w:p>
      <w:pPr>
        <w:ind w:firstLine="255"/>
        <w:spacing w:after="0" w:line="271" w:lineRule="auto"/>
        <w:rPr>
          <w:sz w:val="20"/>
          <w:szCs w:val="20"/>
          <w:color w:val="auto"/>
        </w:rPr>
      </w:pPr>
      <w:r>
        <w:rPr>
          <w:rFonts w:ascii="Times New Roman" w:cs="Times New Roman" w:eastAsia="Times New Roman" w:hAnsi="Times New Roman"/>
          <w:sz w:val="13"/>
          <w:szCs w:val="13"/>
          <w:color w:val="auto"/>
        </w:rPr>
        <w:t>As of August 1, 2025, there were 17,488,642 shares of the registrant’s Class A Common Stock, par value $0.10 per share, and 719,200 shares of the registrant’s Class B Common Stock, par value $0.10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873125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367030</wp:posOffset>
            </wp:positionV>
            <wp:extent cx="708914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3335"/>
                    </a:xfrm>
                    <a:prstGeom prst="rect">
                      <a:avLst/>
                    </a:prstGeom>
                    <a:noFill/>
                  </pic:spPr>
                </pic:pic>
              </a:graphicData>
            </a:graphic>
          </wp:anchor>
        </w:drawing>
      </w:r>
    </w:p>
    <w:p>
      <w:pPr>
        <w:sectPr>
          <w:pgSz w:w="11900" w:h="16838" w:orient="portrait"/>
          <w:cols w:equalWidth="0" w:num="1">
            <w:col w:w="11260"/>
          </w:cols>
          <w:pgMar w:left="300" w:top="10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80" w:type="dxa"/>
            <w:vAlign w:val="bottom"/>
            <w:gridSpan w:val="7"/>
          </w:tcPr>
          <w:p>
            <w:pPr>
              <w:ind w:left="7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80" w:type="dxa"/>
            <w:vAlign w:val="bottom"/>
            <w:gridSpan w:val="7"/>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80" w:type="dxa"/>
            <w:vAlign w:val="bottom"/>
            <w:gridSpan w:val="7"/>
            <w:vMerge w:val="continue"/>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1.</w:t>
            </w:r>
          </w:p>
        </w:tc>
        <w:tc>
          <w:tcPr>
            <w:tcW w:w="380" w:type="dxa"/>
            <w:vAlign w:val="bottom"/>
            <w:shd w:val="clear" w:color="auto" w:fill="CCEEFF"/>
          </w:tcPr>
          <w:p>
            <w:pPr>
              <w:spacing w:after="0"/>
              <w:rPr>
                <w:sz w:val="13"/>
                <w:szCs w:val="13"/>
                <w:color w:val="auto"/>
              </w:rPr>
            </w:pP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Financial Statements (Unaudited):</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Consolidated Balance Sheets at June 30, 2025 and December 31, 2024</w:t>
            </w:r>
          </w:p>
        </w:tc>
        <w:tc>
          <w:tcPr>
            <w:tcW w:w="96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40" w:type="dxa"/>
            <w:vAlign w:val="bottom"/>
            <w:tcBorders>
              <w:bottom w:val="single" w:sz="8" w:color="0000FF"/>
            </w:tcBorders>
            <w:gridSpan w:val="9"/>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6"/>
              </w:rPr>
              <w:t>Consolidated Statements of Operations and Comprehensive Income for the Three and Six Months Ended June 30, 2025 and 2024</w:t>
            </w:r>
          </w:p>
        </w:tc>
        <w:tc>
          <w:tcPr>
            <w:tcW w:w="9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11</w:t>
            </w:r>
          </w:p>
        </w:tc>
        <w:tc>
          <w:tcPr>
            <w:tcW w:w="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Cash Flows for the Six Months Ended June 30, 2025 and 2024</w:t>
            </w:r>
          </w:p>
        </w:tc>
        <w:tc>
          <w:tcPr>
            <w:tcW w:w="96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0" w:type="dxa"/>
            <w:vAlign w:val="bottom"/>
            <w:gridSpan w:val="10"/>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Stockholders’ Equity for the Three and Six Months Ended June 30, 2025 and 2024</w:t>
            </w:r>
          </w:p>
        </w:tc>
        <w:tc>
          <w:tcPr>
            <w:tcW w:w="960" w:type="dxa"/>
            <w:vAlign w:val="bottom"/>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13</w:t>
            </w:r>
          </w:p>
        </w:tc>
        <w:tc>
          <w:tcPr>
            <w:tcW w:w="0" w:type="dxa"/>
            <w:vAlign w:val="bottom"/>
          </w:tcPr>
          <w:p>
            <w:pPr>
              <w:spacing w:after="0"/>
              <w:rPr>
                <w:sz w:val="1"/>
                <w:szCs w:val="1"/>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880" w:type="dxa"/>
            <w:vAlign w:val="bottom"/>
            <w:tcBorders>
              <w:top w:val="single" w:sz="8" w:color="0000FF"/>
            </w:tcBorders>
            <w:gridSpan w:val="8"/>
          </w:tcPr>
          <w:p>
            <w:pPr>
              <w:spacing w:after="0" w:line="159" w:lineRule="exact"/>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120" w:type="dxa"/>
            <w:vAlign w:val="bottom"/>
            <w:tcBorders>
              <w:top w:val="single" w:sz="8" w:color="CCEEFF"/>
            </w:tcBorders>
            <w:gridSpan w:val="2"/>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60" w:type="dxa"/>
            <w:vAlign w:val="bottom"/>
            <w:tcBorders>
              <w:top w:val="single" w:sz="8" w:color="0000FF"/>
            </w:tcBorders>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14</w:t>
            </w:r>
          </w:p>
        </w:tc>
        <w:tc>
          <w:tcPr>
            <w:tcW w:w="4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2.</w:t>
            </w:r>
          </w:p>
        </w:tc>
        <w:tc>
          <w:tcPr>
            <w:tcW w:w="380" w:type="dxa"/>
            <w:vAlign w:val="bottom"/>
            <w:shd w:val="clear" w:color="auto" w:fill="CCEEFF"/>
          </w:tcPr>
          <w:p>
            <w:pPr>
              <w:spacing w:after="0"/>
              <w:rPr>
                <w:sz w:val="13"/>
                <w:szCs w:val="13"/>
                <w:color w:val="auto"/>
              </w:rPr>
            </w:pP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60" w:type="dxa"/>
            <w:vAlign w:val="bottom"/>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34</w:t>
            </w: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0000FF"/>
                <w:w w:val="92"/>
              </w:rPr>
              <w:t>Item 3.</w:t>
            </w:r>
          </w:p>
        </w:tc>
        <w:tc>
          <w:tcPr>
            <w:tcW w:w="380" w:type="dxa"/>
            <w:vAlign w:val="bottom"/>
          </w:tcPr>
          <w:p>
            <w:pPr>
              <w:spacing w:after="0"/>
              <w:rPr>
                <w:sz w:val="13"/>
                <w:szCs w:val="13"/>
                <w:color w:val="auto"/>
              </w:rPr>
            </w:pPr>
          </w:p>
        </w:tc>
        <w:tc>
          <w:tcPr>
            <w:tcW w:w="9480" w:type="dxa"/>
            <w:vAlign w:val="bottom"/>
            <w:gridSpan w:val="12"/>
          </w:tcPr>
          <w:p>
            <w:pPr>
              <w:ind w:left="380"/>
              <w:spacing w:after="0" w:line="159"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96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60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Item 4.</w:t>
            </w: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Controls and Procedures</w:t>
            </w:r>
          </w:p>
        </w:tc>
        <w:tc>
          <w:tcPr>
            <w:tcW w:w="960" w:type="dxa"/>
            <w:vAlign w:val="bottom"/>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61</w:t>
            </w: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tc>
      </w:tr>
      <w:tr>
        <w:trPr>
          <w:trHeight w:val="159"/>
        </w:trPr>
        <w:tc>
          <w:tcPr>
            <w:tcW w:w="20" w:type="dxa"/>
            <w:vAlign w:val="bottom"/>
          </w:tcPr>
          <w:p>
            <w:pPr>
              <w:spacing w:after="0"/>
              <w:rPr>
                <w:sz w:val="13"/>
                <w:szCs w:val="13"/>
                <w:color w:val="auto"/>
              </w:rPr>
            </w:pPr>
          </w:p>
        </w:tc>
        <w:tc>
          <w:tcPr>
            <w:tcW w:w="92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Item 1.</w:t>
            </w:r>
          </w:p>
        </w:tc>
        <w:tc>
          <w:tcPr>
            <w:tcW w:w="2500" w:type="dxa"/>
            <w:vAlign w:val="bottom"/>
            <w:gridSpan w:val="6"/>
          </w:tcPr>
          <w:p>
            <w:pPr>
              <w:ind w:left="280"/>
              <w:spacing w:after="0" w:line="159" w:lineRule="exact"/>
              <w:rPr>
                <w:sz w:val="20"/>
                <w:szCs w:val="20"/>
                <w:color w:val="auto"/>
              </w:rPr>
            </w:pPr>
            <w:r>
              <w:rPr>
                <w:rFonts w:ascii="Times New Roman" w:cs="Times New Roman" w:eastAsia="Times New Roman" w:hAnsi="Times New Roman"/>
                <w:sz w:val="16"/>
                <w:szCs w:val="16"/>
                <w:color w:val="0000FF"/>
              </w:rPr>
              <w:t>Legal Proceedings</w:t>
            </w: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62</w:t>
            </w: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4"/>
              </w:rPr>
              <w:t>Item 1A.</w:t>
            </w:r>
          </w:p>
        </w:tc>
        <w:tc>
          <w:tcPr>
            <w:tcW w:w="360" w:type="dxa"/>
            <w:vAlign w:val="bottom"/>
            <w:gridSpan w:val="2"/>
            <w:shd w:val="clear" w:color="auto" w:fill="CCEEFF"/>
          </w:tcPr>
          <w:p>
            <w:pPr>
              <w:spacing w:after="0"/>
              <w:rPr>
                <w:sz w:val="13"/>
                <w:szCs w:val="13"/>
                <w:color w:val="auto"/>
              </w:rPr>
            </w:pPr>
          </w:p>
        </w:tc>
        <w:tc>
          <w:tcPr>
            <w:tcW w:w="2500" w:type="dxa"/>
            <w:vAlign w:val="bottom"/>
            <w:gridSpan w:val="6"/>
            <w:shd w:val="clear" w:color="auto" w:fill="CCEEFF"/>
          </w:tcPr>
          <w:p>
            <w:pPr>
              <w:ind w:left="280"/>
              <w:spacing w:after="0" w:line="159" w:lineRule="exact"/>
              <w:rPr>
                <w:sz w:val="20"/>
                <w:szCs w:val="20"/>
                <w:color w:val="auto"/>
              </w:rPr>
            </w:pPr>
            <w:r>
              <w:rPr>
                <w:rFonts w:ascii="Times New Roman" w:cs="Times New Roman" w:eastAsia="Times New Roman" w:hAnsi="Times New Roman"/>
                <w:sz w:val="16"/>
                <w:szCs w:val="16"/>
                <w:color w:val="0000FF"/>
              </w:rPr>
              <w:t>Risk Factors</w:t>
            </w:r>
          </w:p>
        </w:tc>
        <w:tc>
          <w:tcPr>
            <w:tcW w:w="7840" w:type="dxa"/>
            <w:vAlign w:val="bottom"/>
            <w:gridSpan w:val="3"/>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62</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6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2"/>
          </w:tcPr>
          <w:p>
            <w:pPr>
              <w:spacing w:after="0"/>
              <w:rPr>
                <w:sz w:val="13"/>
                <w:szCs w:val="13"/>
                <w:color w:val="auto"/>
              </w:rPr>
            </w:pPr>
          </w:p>
        </w:tc>
        <w:tc>
          <w:tcPr>
            <w:tcW w:w="2500" w:type="dxa"/>
            <w:vAlign w:val="bottom"/>
            <w:gridSpan w:val="6"/>
          </w:tcPr>
          <w:p>
            <w:pPr>
              <w:ind w:left="280"/>
              <w:spacing w:after="0" w:line="159" w:lineRule="exact"/>
              <w:rPr>
                <w:sz w:val="20"/>
                <w:szCs w:val="20"/>
                <w:color w:val="auto"/>
              </w:rPr>
            </w:pPr>
            <w:r>
              <w:rPr>
                <w:rFonts w:ascii="Times New Roman" w:cs="Times New Roman" w:eastAsia="Times New Roman" w:hAnsi="Times New Roman"/>
                <w:sz w:val="16"/>
                <w:szCs w:val="16"/>
                <w:color w:val="0000FF"/>
              </w:rPr>
              <w:t>Other Information</w:t>
            </w: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62</w:t>
            </w: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6.</w:t>
            </w:r>
          </w:p>
        </w:tc>
        <w:tc>
          <w:tcPr>
            <w:tcW w:w="480" w:type="dxa"/>
            <w:vAlign w:val="bottom"/>
            <w:gridSpan w:val="3"/>
            <w:shd w:val="clear" w:color="auto" w:fill="CCEEFF"/>
          </w:tcPr>
          <w:p>
            <w:pPr>
              <w:spacing w:after="0"/>
              <w:rPr>
                <w:sz w:val="13"/>
                <w:szCs w:val="13"/>
                <w:color w:val="auto"/>
              </w:rPr>
            </w:pPr>
          </w:p>
        </w:tc>
        <w:tc>
          <w:tcPr>
            <w:tcW w:w="2500" w:type="dxa"/>
            <w:vAlign w:val="bottom"/>
            <w:gridSpan w:val="6"/>
            <w:shd w:val="clear" w:color="auto" w:fill="CCEEFF"/>
          </w:tcPr>
          <w:p>
            <w:pPr>
              <w:ind w:left="280"/>
              <w:spacing w:after="0" w:line="159" w:lineRule="exact"/>
              <w:rPr>
                <w:sz w:val="20"/>
                <w:szCs w:val="20"/>
                <w:color w:val="auto"/>
              </w:rPr>
            </w:pPr>
            <w:r>
              <w:rPr>
                <w:rFonts w:ascii="Times New Roman" w:cs="Times New Roman" w:eastAsia="Times New Roman" w:hAnsi="Times New Roman"/>
                <w:sz w:val="16"/>
                <w:szCs w:val="16"/>
                <w:color w:val="0000FF"/>
              </w:rPr>
              <w:t>Exhibits</w:t>
            </w:r>
          </w:p>
        </w:tc>
        <w:tc>
          <w:tcPr>
            <w:tcW w:w="7840" w:type="dxa"/>
            <w:vAlign w:val="bottom"/>
            <w:gridSpan w:val="3"/>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63</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Signatures</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64</w:t>
            </w:r>
          </w:p>
        </w:tc>
      </w:tr>
      <w:tr>
        <w:trPr>
          <w:trHeight w:val="924"/>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tcPr>
          <w:p>
            <w:pPr>
              <w:jc w:val="right"/>
              <w:ind w:right="4963"/>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20" w:type="dxa"/>
            <w:vAlign w:val="bottom"/>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Glossary of Certain Terms and Abbreviations</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Centrus Energy Corp. and Related Entities</w:t>
            </w:r>
          </w:p>
        </w:tc>
        <w:tc>
          <w:tcPr>
            <w:tcW w:w="7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ACO</w:t>
            </w:r>
          </w:p>
        </w:tc>
        <w:tc>
          <w:tcPr>
            <w:tcW w:w="440" w:type="dxa"/>
            <w:vAlign w:val="bottom"/>
            <w:shd w:val="clear" w:color="auto" w:fill="CCEEFF"/>
          </w:tcPr>
          <w:p>
            <w:pPr>
              <w:spacing w:after="0"/>
              <w:rPr>
                <w:sz w:val="16"/>
                <w:szCs w:val="16"/>
                <w:color w:val="auto"/>
              </w:rPr>
            </w:pP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American Centrifuge Operating LLC, a subsidiary of Centrus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Board</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Centrus Energy Corp.’s Board of Directors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Centrus</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Centrus Energy Corp.</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Enrichment Corp.</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United States Enrichment Corporation, a subsidiary of Centrus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Paducah GDP</w:t>
            </w: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Paducah Gaseous Diffusion Plant, an enrichment plant in Paducah, Kentucky, formerly operated by Enrichment Corp.</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Piketon</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Production facility in Piketon, Ohio</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Portsmouth GDP</w:t>
            </w: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Portsmouth Gaseous Diffusion Plant, an enrichment plant near Portsmouth, Ohio, formerly operated by Enrichment Corp.</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USEC-Government</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Enrichment Corp. prior to 1993, a wholly-owned government corporation prior to its privatization in July 1998</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Terms and Abbreviations</w:t>
            </w:r>
          </w:p>
        </w:tc>
        <w:tc>
          <w:tcPr>
            <w:tcW w:w="7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2.25% Convertible Notes</w:t>
            </w:r>
          </w:p>
        </w:tc>
        <w:tc>
          <w:tcPr>
            <w:tcW w:w="1120" w:type="dxa"/>
            <w:vAlign w:val="bottom"/>
            <w:tcBorders>
              <w:bottom w:val="single" w:sz="8" w:color="CCEEFF"/>
            </w:tcBorders>
            <w:gridSpan w:val="2"/>
            <w:shd w:val="clear" w:color="auto" w:fill="CCEEFF"/>
          </w:tcPr>
          <w:p>
            <w:pPr>
              <w:spacing w:after="0"/>
              <w:rPr>
                <w:sz w:val="17"/>
                <w:szCs w:val="17"/>
                <w:color w:val="auto"/>
              </w:rPr>
            </w:pP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2.25% Convertible Senior Notes, maturing November 2030 unless repurchased, redeemed or converted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2002 DOE-USEC Agreement</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June 17, 2002 agreement between Centrus (then known as USEC Inc.) and the DOE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5B Cylinders</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Storage cylinders for HALEU UF</w:t>
            </w:r>
            <w:r>
              <w:rPr>
                <w:rFonts w:ascii="Times New Roman" w:cs="Times New Roman" w:eastAsia="Times New Roman" w:hAnsi="Times New Roman"/>
                <w:sz w:val="9"/>
                <w:szCs w:val="9"/>
                <w:color w:val="auto"/>
              </w:rPr>
              <w:t>6</w:t>
            </w:r>
            <w:r>
              <w:rPr>
                <w:rFonts w:ascii="Times New Roman" w:cs="Times New Roman" w:eastAsia="Times New Roman" w:hAnsi="Times New Roman"/>
                <w:sz w:val="14"/>
                <w:szCs w:val="14"/>
                <w:color w:val="auto"/>
              </w:rPr>
              <w:t xml:space="preserve"> produced by the cascade</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8.25% Notes</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8.25% Notes, originally maturing February 2027, redeemed in March 2025</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American Centrifuge</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Advanced uranium enrichment gas centrifuge technology previously developed, based on the proven workable U.S.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centrifuge technology developed by DOE in the mid-1980s and utilized in a demonstration facility in 2012-2013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American Centrifuge Plant</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Refers to a demonstration facility in Piketon, Ohio where USEC planned to install a lead cascade of centrifuge machines to</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demonstrate the American Centrifuge technology under the terms of the 2002 DOE-USEC Agreement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ARDP</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DOE’s Advanced Reactor Demonstration Program</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ATM</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At the Market</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Common Stock</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Class A common stock, $0.10 par value per share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B Common Stock</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Class B common stock, $0.10 par value per share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Class A Common Stock and Class B Common Stock</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D&amp;D</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Decontamination &amp; Decommissioning</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DOC</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U.S. Department of Commerce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DOE</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U.S. Department of Energy</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EU</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European Union</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HALEU</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High Assay Low-Enriched Uranium</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HALEU Deconversion Contract</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 IDIQ contract awarded by DOE to ACO on October 4, 2024 for the deconversion of HALEU</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HALEU Demonstration Contract</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Three-year, $115.0 million cost-share contract with DOE signed in 2019 by Centrus’ subsidiary, ACO</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HALEU Production Contract</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 IDIQ contract awarded by DOE to ACO on October 16, 2024 for the production of HALEU</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HALEU Operation Contract</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HALEU production contract with DOE signed in 2022</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IDIQ</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Indefinite Delivery, Indefinite Quantity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8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4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IEA</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International Energy Agency</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Import Ban Act</w:t>
            </w: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The “Prohibiting Russian Uranium Imports Act” enacted in May 2024 that bans imports of LEU from Russia into the U.S.,</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effective August 11, 2024, subject to issuance of waivers by the DOE</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LEU</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Low-Enriched Uranium; term is also used to refer to the Centrus Energy Corp. business segment which supplies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8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commercial customers with various components of nuclear fuel</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LEU Production Contract</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An IDIQ contract awarded by DOE to ACO on December 10, 2024 for expansion of domestic LEU production</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Uranium</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Raw material needed to produce LEU and HALEU</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Operating Loss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NRC</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U.S. Nuclear Regulatory Commission</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NUBIL</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unrealized built-in loss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Orano</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Orano Cycle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Orano Supply Agreement</w:t>
            </w: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Long-term supply of SWU contained in LEU, signed by Enrichment Corp. with Orano in 2018</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Power MOU</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Memorandum of understanding between the DOE and USEC-Government</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Price-Anderson Act</w:t>
            </w: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Price-Anderson Nuclear Industries Indemnity Act (Section 170 of the U.S. Atomic Energy Act of 1954, as amended)</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RFP</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Request for Proposal</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Rights Agreement</w:t>
            </w: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Section 382 Rights Agreement, dated as of April 6, 2016, by and among the Company and Computershare Trust Company,</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N.A. and Computershare Inc., as rights agent, as amended</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Rosatom</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Russian State Atomic Energy Corporation</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RSA</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1992 Russian Suspension Agreement, as amended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Russian Decree</w:t>
            </w:r>
          </w:p>
        </w:tc>
        <w:tc>
          <w:tcPr>
            <w:tcW w:w="8060" w:type="dxa"/>
            <w:vAlign w:val="bottom"/>
            <w:shd w:val="clear" w:color="auto" w:fill="CCEEFF"/>
          </w:tcPr>
          <w:p>
            <w:pPr>
              <w:ind w:left="1000"/>
              <w:spacing w:after="0" w:line="138" w:lineRule="exact"/>
              <w:rPr>
                <w:sz w:val="20"/>
                <w:szCs w:val="20"/>
                <w:color w:val="auto"/>
              </w:rPr>
            </w:pPr>
            <w:r>
              <w:rPr>
                <w:rFonts w:ascii="Times New Roman" w:cs="Times New Roman" w:eastAsia="Times New Roman" w:hAnsi="Times New Roman"/>
                <w:sz w:val="14"/>
                <w:szCs w:val="14"/>
                <w:color w:val="auto"/>
              </w:rPr>
              <w:t>Russian Federal Decree No. 1544, passed on November 14, 2024, that rescinded TENEX’s general license to export LEU to</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80" w:type="dxa"/>
            <w:vAlign w:val="bottom"/>
            <w:shd w:val="clear" w:color="auto" w:fill="CCEEFF"/>
          </w:tcPr>
          <w:p>
            <w:pPr>
              <w:spacing w:after="0"/>
              <w:rPr>
                <w:sz w:val="16"/>
                <w:szCs w:val="16"/>
                <w:color w:val="auto"/>
              </w:rPr>
            </w:pP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the United States or to entities registered in the United States, effective through December 31, 2025</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Stock appreciation rights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U.S. Securities &amp; Exchange Commission</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SWU</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Separative work unit</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Solutions</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The Centrus business segment which offers technical, manufacturing, engineering, and operations services to public and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8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private sector customers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TENEX</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Russian government-owned entity TENEX, Joint-Stock Company</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TENEX Supply Contract</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Agreement with TENEX through 2028</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U</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vertAlign w:val="subscript"/>
              </w:rPr>
              <w:t>8</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Uranium oxide, aka “yellowcake”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UF</w:t>
            </w:r>
            <w:r>
              <w:rPr>
                <w:rFonts w:ascii="Times New Roman" w:cs="Times New Roman" w:eastAsia="Times New Roman" w:hAnsi="Times New Roman"/>
                <w:sz w:val="18"/>
                <w:szCs w:val="18"/>
                <w:color w:val="auto"/>
                <w:vertAlign w:val="subscript"/>
              </w:rPr>
              <w:t>6</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Uranium hexafluoride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WNA</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World Nuclear Association</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0"/>
        </w:trPr>
        <w:tc>
          <w:tcPr>
            <w:tcW w:w="2480" w:type="dxa"/>
            <w:vAlign w:val="bottom"/>
          </w:tcPr>
          <w:p>
            <w:pPr>
              <w:spacing w:after="0"/>
              <w:rPr>
                <w:sz w:val="24"/>
                <w:szCs w:val="24"/>
                <w:color w:val="auto"/>
              </w:rPr>
            </w:pPr>
          </w:p>
        </w:tc>
        <w:tc>
          <w:tcPr>
            <w:tcW w:w="806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480" w:type="dxa"/>
            <w:vAlign w:val="bottom"/>
            <w:tcBorders>
              <w:bottom w:val="single" w:sz="8" w:color="9A9A9A"/>
            </w:tcBorders>
          </w:tcPr>
          <w:p>
            <w:pPr>
              <w:spacing w:after="0"/>
              <w:rPr>
                <w:sz w:val="7"/>
                <w:szCs w:val="7"/>
                <w:color w:val="auto"/>
              </w:rPr>
            </w:pPr>
          </w:p>
        </w:tc>
        <w:tc>
          <w:tcPr>
            <w:tcW w:w="80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7" w:right="319" w:bottom="1440" w:gutter="0" w:footer="0" w:header="0"/>
        </w:sectPr>
      </w:pPr>
    </w:p>
    <w:bookmarkStart w:id="4" w:name="page5"/>
    <w:bookmarkEnd w:id="4"/>
    <w:p>
      <w:pPr>
        <w:ind w:left="430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CAUTIONARY STATEMENTS REGARDING FORWARD-LOOKING INFORMATION</w:t>
      </w:r>
    </w:p>
    <w:p>
      <w:pPr>
        <w:spacing w:after="0" w:line="176"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color w:val="auto"/>
        </w:rPr>
        <w:t>This Quarterly Report on Form 10-Q of Centrus (the “Company,” “we” or “us”) contains “forward-looking statements” within the meaning of Section 21E of the Exchange Act of 1934,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Quarterly Report on Form 10-Q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spacing w:after="0" w:line="148" w:lineRule="exact"/>
        <w:rPr>
          <w:sz w:val="20"/>
          <w:szCs w:val="20"/>
          <w:color w:val="auto"/>
        </w:rPr>
      </w:pPr>
    </w:p>
    <w:p>
      <w:pPr>
        <w:ind w:firstLine="509"/>
        <w:spacing w:after="0" w:line="292" w:lineRule="auto"/>
        <w:rPr>
          <w:sz w:val="20"/>
          <w:szCs w:val="20"/>
          <w:color w:val="auto"/>
        </w:rPr>
      </w:pPr>
      <w:r>
        <w:rPr>
          <w:rFonts w:ascii="Times New Roman" w:cs="Times New Roman" w:eastAsia="Times New Roman" w:hAnsi="Times New Roman"/>
          <w:sz w:val="14"/>
          <w:szCs w:val="14"/>
          <w:color w:val="auto"/>
        </w:rPr>
        <w:t xml:space="preserve">The factors that could cause actual results to differ materially from the forward-looking statements made by us include those factors discussed herein, including those factors discussed in (a) Part I, Item 1. </w:t>
      </w:r>
      <w:r>
        <w:rPr>
          <w:rFonts w:ascii="Times New Roman" w:cs="Times New Roman" w:eastAsia="Times New Roman" w:hAnsi="Times New Roman"/>
          <w:sz w:val="14"/>
          <w:szCs w:val="14"/>
          <w:i w:val="1"/>
          <w:iCs w:val="1"/>
          <w:color w:val="auto"/>
        </w:rPr>
        <w:t>Financial Statements (Unaudited)</w:t>
      </w:r>
      <w:r>
        <w:rPr>
          <w:rFonts w:ascii="Times New Roman" w:cs="Times New Roman" w:eastAsia="Times New Roman" w:hAnsi="Times New Roman"/>
          <w:sz w:val="14"/>
          <w:szCs w:val="14"/>
          <w:color w:val="auto"/>
        </w:rPr>
        <w:t xml:space="preserve">: Note 11,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(b) Part I, Item 2. </w:t>
      </w:r>
      <w:r>
        <w:rPr>
          <w:rFonts w:ascii="Times New Roman" w:cs="Times New Roman" w:eastAsia="Times New Roman" w:hAnsi="Times New Roman"/>
          <w:sz w:val="14"/>
          <w:szCs w:val="14"/>
          <w:i w:val="1"/>
          <w:iCs w:val="1"/>
          <w:color w:val="auto"/>
        </w:rPr>
        <w:t>Management’s Discussion and Analysis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Condition and Results of Operations, </w:t>
      </w:r>
      <w:r>
        <w:rPr>
          <w:rFonts w:ascii="Times New Roman" w:cs="Times New Roman" w:eastAsia="Times New Roman" w:hAnsi="Times New Roman"/>
          <w:sz w:val="14"/>
          <w:szCs w:val="14"/>
          <w:color w:val="auto"/>
        </w:rPr>
        <w:t>(c) Part II, Item 1A.</w:t>
      </w:r>
      <w:r>
        <w:rPr>
          <w:rFonts w:ascii="Times New Roman" w:cs="Times New Roman" w:eastAsia="Times New Roman" w:hAnsi="Times New Roman"/>
          <w:sz w:val="14"/>
          <w:szCs w:val="14"/>
          <w:i w:val="1"/>
          <w:iCs w:val="1"/>
          <w:color w:val="auto"/>
        </w:rPr>
        <w:t xml:space="preserve"> Risk Factors</w:t>
      </w:r>
      <w:r>
        <w:rPr>
          <w:rFonts w:ascii="Times New Roman" w:cs="Times New Roman" w:eastAsia="Times New Roman" w:hAnsi="Times New Roman"/>
          <w:sz w:val="14"/>
          <w:szCs w:val="14"/>
          <w:color w:val="auto"/>
        </w:rPr>
        <w:t>, and (d) other factors discussed in the Company’s filings with the SEC. Readers are cautioned not to place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undue reliance on these forward-looking statements, which apply only as of the date of this Quarterly Report. The Company does not undertake any obligation to publicly release any revision to its forward-looking statements to reflect events or circumstances that may arise after the date of this Quarterly Report on Form 10-Q unless required by law.</w:t>
      </w:r>
    </w:p>
    <w:p>
      <w:pPr>
        <w:spacing w:after="0" w:line="145"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6"/>
          <w:szCs w:val="16"/>
          <w:color w:val="auto"/>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Risks related to the war in Ukraine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hanging="253"/>
        <w:spacing w:after="0" w:line="292" w:lineRule="auto"/>
        <w:tabs>
          <w:tab w:leader="none" w:pos="63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geopolitical conflicts and the imposition of sanctions or other measures, including bans or tariffs, by (i) the U.S. or foreign governments and institutions such as the EU, (ii) organizations (including the United Nations or other international organizations), and/or (iii) entities (including private entities or persons), that could directly or indirectly impact our financial position or ability to obtain, deliver, transport, or sell LEU or the SWU and natural uranium hexafluoride components of LEU delivered to us under the TENEX Supply Contract or other supply contracts or make related payments or deliveries of natural uranium hexafluoride to TENEX;</w:t>
      </w:r>
    </w:p>
    <w:p>
      <w:pPr>
        <w:spacing w:after="0" w:line="1" w:lineRule="exact"/>
        <w:rPr>
          <w:rFonts w:ascii="Times New Roman" w:cs="Times New Roman" w:eastAsia="Times New Roman" w:hAnsi="Times New Roman"/>
          <w:sz w:val="14"/>
          <w:szCs w:val="14"/>
          <w:color w:val="auto"/>
        </w:rPr>
      </w:pPr>
    </w:p>
    <w:p>
      <w:pPr>
        <w:ind w:left="640" w:right="20" w:hanging="253"/>
        <w:spacing w:after="0" w:line="254"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laws or other government measures that ban, delay or restrict (i) imports of Russian LEU into the United States, including but not limited to the Import Ban Act, or (ii) transactions with Rosatom or its subsidiaries, which include TENEX or (iii) exports of Russian LEU from Russia to the United States or any entity that is a U.S. entity or that transacts with a U.S. entity, including but not limited to the Russian Decree;</w:t>
      </w:r>
    </w:p>
    <w:p>
      <w:pPr>
        <w:spacing w:after="0" w:line="20" w:lineRule="exact"/>
        <w:rPr>
          <w:rFonts w:ascii="Times New Roman" w:cs="Times New Roman" w:eastAsia="Times New Roman" w:hAnsi="Times New Roman"/>
          <w:sz w:val="16"/>
          <w:szCs w:val="16"/>
          <w:color w:val="auto"/>
        </w:rPr>
      </w:pPr>
    </w:p>
    <w:p>
      <w:pPr>
        <w:ind w:left="640" w:right="180" w:hanging="253"/>
        <w:spacing w:after="0" w:line="259"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potential inability to secure additional U.S. government waivers from the Import Ban Act in a timely manner or at all in order to allow us to continue importing Russian LEU under the TENEX Supply Contract or implementing the TENEX Supply Contract;</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 w:name="page6"/>
    <w:bookmarkEnd w:id="5"/>
    <w:p>
      <w:pPr>
        <w:ind w:left="380" w:hanging="253"/>
        <w:spacing w:after="0" w:line="248" w:lineRule="auto"/>
        <w:tabs>
          <w:tab w:leader="none" w:pos="37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TENEX’s refusal or its prohibition or inability to deliver, or timely deliver, LEU to us for any reason including (i) U.S. or foreign government sanctions, bans, or decrees imposed on LEU from Russia or on TENEX, (ii) TENEX being unable, prohibited or unwilling to receive payments, receive the return of natural uranium hexafluoride, or conduct other activities related to the TENEX Supply Contract, (iii) TENEX elects, or is directed (including by its owner or the Russian government), to limit, pause or stop transactions with us or with the United States or other countries or (iv) TENEX is unable to secure specific export licenses from the Russian authorities as required by the Russian Decree for each shipment or secure them in a timely manner to ship Russian LEU to the United States, or such export licenses, once secured, are subsequently rescinded prior to shipment;</w:t>
      </w:r>
    </w:p>
    <w:p>
      <w:pPr>
        <w:spacing w:after="0" w:line="26"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laws, sanctions or other government measures that prohibit or restrict doing business with TENEX; and</w:t>
      </w:r>
    </w:p>
    <w:p>
      <w:pPr>
        <w:spacing w:after="0" w:line="38" w:lineRule="exact"/>
        <w:rPr>
          <w:rFonts w:ascii="Times New Roman" w:cs="Times New Roman" w:eastAsia="Times New Roman" w:hAnsi="Times New Roman"/>
          <w:sz w:val="16"/>
          <w:szCs w:val="16"/>
          <w:color w:val="auto"/>
        </w:rPr>
      </w:pPr>
    </w:p>
    <w:p>
      <w:pPr>
        <w:ind w:left="380" w:right="160" w:hanging="253"/>
        <w:spacing w:after="0" w:line="273" w:lineRule="auto"/>
        <w:tabs>
          <w:tab w:leader="none" w:pos="37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disputes with third parties, including contractual counterparties, that could result if we do not receive timely deliveries of LEU under the TENEX Supply Contract and are unable to rely on contractual protections.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economic and industry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380" w:hanging="253"/>
        <w:spacing w:after="0" w:line="254"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dependence on others, such as TENEX, under the TENEX Supply Contract, Orano, under the Orano Supply Agreement, and other suppliers (including, but not limited to, transporters, fabricators or converters) who provide, or deliver, us the goods and services we need to conduct our business and any resulting negative impact on our liquidity;</w:t>
      </w:r>
    </w:p>
    <w:p>
      <w:pPr>
        <w:spacing w:after="0" w:line="20" w:lineRule="exact"/>
        <w:rPr>
          <w:rFonts w:ascii="Times New Roman" w:cs="Times New Roman" w:eastAsia="Times New Roman" w:hAnsi="Times New Roman"/>
          <w:sz w:val="16"/>
          <w:szCs w:val="16"/>
          <w:color w:val="auto"/>
        </w:rPr>
      </w:pPr>
    </w:p>
    <w:p>
      <w:pPr>
        <w:ind w:left="380" w:right="100" w:hanging="253"/>
        <w:spacing w:after="0" w:line="254"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sell, transport or deliver the LEU we procure pursuant to our purchase obligations under our supply agreements and the impacts of sanctions or limitations on imports of such LEU, including those imposed under the RSA, international trade legislation and other international trade restrictions including but not limited to the Import Ban Act and Russian Decree;</w:t>
      </w:r>
    </w:p>
    <w:p>
      <w:pPr>
        <w:spacing w:after="0" w:line="20" w:lineRule="exact"/>
        <w:rPr>
          <w:rFonts w:ascii="Times New Roman" w:cs="Times New Roman" w:eastAsia="Times New Roman" w:hAnsi="Times New Roman"/>
          <w:sz w:val="16"/>
          <w:szCs w:val="16"/>
          <w:color w:val="auto"/>
        </w:rPr>
      </w:pPr>
    </w:p>
    <w:p>
      <w:pPr>
        <w:ind w:left="380" w:right="360" w:hanging="253"/>
        <w:spacing w:after="0" w:line="259"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increasing quantities of LEU being imported into the United States from China and the impact on our ability to make future LEU or SWU sales or ability to finance any build out of our enrichment capacities;</w:t>
      </w:r>
    </w:p>
    <w:p>
      <w:pPr>
        <w:spacing w:after="0" w:line="16" w:lineRule="exact"/>
        <w:rPr>
          <w:rFonts w:ascii="Times New Roman" w:cs="Times New Roman" w:eastAsia="Times New Roman" w:hAnsi="Times New Roman"/>
          <w:sz w:val="16"/>
          <w:szCs w:val="16"/>
          <w:color w:val="auto"/>
        </w:rPr>
      </w:pPr>
    </w:p>
    <w:p>
      <w:pPr>
        <w:ind w:left="380" w:right="140" w:hanging="253"/>
        <w:spacing w:after="0" w:line="259"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change in laws, tariffs or other government measures that would lift, lower or relax such laws, tariffs or government measures to allow the importation of LEU, or increase its cost, from Russia or other countries with restrictions;</w:t>
      </w:r>
    </w:p>
    <w:p>
      <w:pPr>
        <w:spacing w:after="0" w:line="16" w:lineRule="exact"/>
        <w:rPr>
          <w:rFonts w:ascii="Times New Roman" w:cs="Times New Roman" w:eastAsia="Times New Roman" w:hAnsi="Times New Roman"/>
          <w:sz w:val="16"/>
          <w:szCs w:val="16"/>
          <w:color w:val="auto"/>
        </w:rPr>
      </w:pPr>
    </w:p>
    <w:p>
      <w:pPr>
        <w:ind w:left="380" w:right="440" w:hanging="253"/>
        <w:spacing w:after="0" w:line="259"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not being able to sell the Russian LEU we may be allowed to import in 2026 or 2027 for any reason, even if we secure waivers, including customers having filled their fuel needs for those years;</w:t>
      </w:r>
    </w:p>
    <w:p>
      <w:pPr>
        <w:spacing w:after="0" w:line="27"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whether or when government funding or demand for HALEU for government or commercial uses will materialize and at what level;</w:t>
      </w:r>
    </w:p>
    <w:p>
      <w:pPr>
        <w:spacing w:after="0" w:line="49"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regarding funding for continuation and deployment of the American Centrifuge technology;</w:t>
      </w:r>
    </w:p>
    <w:p>
      <w:pPr>
        <w:spacing w:after="0" w:line="49" w:lineRule="exact"/>
        <w:rPr>
          <w:rFonts w:ascii="Times New Roman" w:cs="Times New Roman" w:eastAsia="Times New Roman" w:hAnsi="Times New Roman"/>
          <w:sz w:val="16"/>
          <w:szCs w:val="16"/>
          <w:color w:val="auto"/>
        </w:rPr>
      </w:pPr>
    </w:p>
    <w:p>
      <w:pPr>
        <w:ind w:left="380" w:right="60" w:hanging="253"/>
        <w:spacing w:after="0" w:line="259"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 our ability to perform and absorb costs under the HALEU Operation Contract, (ii) our ability to obtain new contracts and funding to be able to continue operations and (iii) our ability to obtain and/or perform under other agreements;</w:t>
      </w:r>
    </w:p>
    <w:p>
      <w:pPr>
        <w:spacing w:after="0" w:line="16" w:lineRule="exact"/>
        <w:rPr>
          <w:rFonts w:ascii="Times New Roman" w:cs="Times New Roman" w:eastAsia="Times New Roman" w:hAnsi="Times New Roman"/>
          <w:sz w:val="16"/>
          <w:szCs w:val="16"/>
          <w:color w:val="auto"/>
        </w:rPr>
      </w:pPr>
    </w:p>
    <w:p>
      <w:pPr>
        <w:jc w:val="both"/>
        <w:ind w:left="380" w:right="180" w:hanging="253"/>
        <w:spacing w:after="0" w:line="254"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p>
      <w:pPr>
        <w:spacing w:after="0" w:line="20"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existing or new trade barriers, and related to contract terms, that limit our ability to procure LEU for, or sell, transport or deliver LEU to, customers;</w:t>
      </w:r>
    </w:p>
    <w:p>
      <w:pPr>
        <w:spacing w:after="0" w:line="38"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pricing trends and demand in the uranium and enrichment markets and their impact on our profitability;</w:t>
      </w:r>
    </w:p>
    <w:p>
      <w:pPr>
        <w:spacing w:after="0" w:line="49"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movement and timing of customer orders;</w:t>
      </w:r>
    </w:p>
    <w:p>
      <w:pPr>
        <w:spacing w:after="0" w:line="38"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fact that we face significant competition from major LEU producers who may be less cost sensitive or are wholly or partially government owned;</w:t>
      </w:r>
    </w:p>
    <w:p>
      <w:pPr>
        <w:spacing w:after="0" w:line="200" w:lineRule="exact"/>
        <w:rPr>
          <w:sz w:val="20"/>
          <w:szCs w:val="20"/>
          <w:color w:val="auto"/>
        </w:rPr>
      </w:pPr>
    </w:p>
    <w:p>
      <w:pPr>
        <w:spacing w:after="0" w:line="32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757" w:right="339" w:bottom="1440" w:gutter="0" w:footer="0" w:header="0"/>
        </w:sectPr>
      </w:pPr>
    </w:p>
    <w:bookmarkStart w:id="6" w:name="page7"/>
    <w:bookmarkEnd w:id="6"/>
    <w:p>
      <w:pPr>
        <w:ind w:left="640" w:right="120" w:hanging="253"/>
        <w:spacing w:after="0" w:line="26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our ability to compete in foreign markets may be limited for various reasons, including policies that favor indigenous suppliers over foreign suppliers of goods and services;</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fact that our revenue is largely dependent on our largest customers;</w:t>
      </w:r>
    </w:p>
    <w:p>
      <w:pPr>
        <w:spacing w:after="0" w:line="49" w:lineRule="exact"/>
        <w:rPr>
          <w:rFonts w:ascii="Times New Roman" w:cs="Times New Roman" w:eastAsia="Times New Roman" w:hAnsi="Times New Roman"/>
          <w:sz w:val="16"/>
          <w:szCs w:val="16"/>
          <w:color w:val="auto"/>
        </w:rPr>
      </w:pPr>
    </w:p>
    <w:p>
      <w:pPr>
        <w:ind w:left="640" w:right="100" w:hanging="253"/>
        <w:spacing w:after="0" w:line="25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backlog, including uncertainty concerning customer actions under current contracts and in future contracting attributable to market conditions, global events or other factors, including our lack of current production capability;</w:t>
      </w:r>
    </w:p>
    <w:p>
      <w:pPr>
        <w:spacing w:after="0" w:line="16" w:lineRule="exact"/>
        <w:rPr>
          <w:rFonts w:ascii="Times New Roman" w:cs="Times New Roman" w:eastAsia="Times New Roman" w:hAnsi="Times New Roman"/>
          <w:sz w:val="16"/>
          <w:szCs w:val="16"/>
          <w:color w:val="auto"/>
        </w:rPr>
      </w:pPr>
    </w:p>
    <w:p>
      <w:pPr>
        <w:ind w:left="640" w:right="540" w:hanging="253"/>
        <w:spacing w:after="0" w:line="26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natural and other disasters, including the continued impact of the March 2011 earthquake and tsunami in Japan, on the nuclear industry and on our business, results of operations and prospects;</w:t>
      </w:r>
    </w:p>
    <w:p>
      <w:pPr>
        <w:spacing w:after="0" w:line="1" w:lineRule="exact"/>
        <w:rPr>
          <w:rFonts w:ascii="Times New Roman" w:cs="Times New Roman" w:eastAsia="Times New Roman" w:hAnsi="Times New Roman"/>
          <w:sz w:val="16"/>
          <w:szCs w:val="16"/>
          <w:color w:val="auto"/>
        </w:rPr>
      </w:pPr>
    </w:p>
    <w:p>
      <w:pPr>
        <w:ind w:left="640" w:right="80" w:hanging="253"/>
        <w:spacing w:after="0" w:line="26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pandemics, endemics, and other health crises; and</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impact and potential extended duration of a supply/demand imbalance in the market for LEU.</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operational factors </w:t>
      </w:r>
      <w:r>
        <w:rPr>
          <w:rFonts w:ascii="Times New Roman" w:cs="Times New Roman" w:eastAsia="Times New Roman" w:hAnsi="Times New Roman"/>
          <w:sz w:val="16"/>
          <w:szCs w:val="16"/>
          <w:color w:val="auto"/>
        </w:rPr>
        <w:t>primarily include:</w:t>
      </w:r>
    </w:p>
    <w:p>
      <w:pPr>
        <w:spacing w:after="0" w:line="41" w:lineRule="exact"/>
        <w:rPr>
          <w:sz w:val="20"/>
          <w:szCs w:val="20"/>
          <w:color w:val="auto"/>
        </w:rPr>
      </w:pPr>
    </w:p>
    <w:p>
      <w:pPr>
        <w:ind w:left="640" w:right="340" w:hanging="253"/>
        <w:spacing w:after="0" w:line="269"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DOE not issuing any major task orders to any contract awardee under any of the HALEU Production Contract, LEU Production Contract, or HALEU Deconversion Contract;</w:t>
      </w:r>
    </w:p>
    <w:p>
      <w:pPr>
        <w:spacing w:after="0" w:line="1" w:lineRule="exact"/>
        <w:rPr>
          <w:rFonts w:ascii="Times New Roman" w:cs="Times New Roman" w:eastAsia="Times New Roman" w:hAnsi="Times New Roman"/>
          <w:sz w:val="16"/>
          <w:szCs w:val="16"/>
          <w:color w:val="auto"/>
        </w:rPr>
      </w:pPr>
    </w:p>
    <w:p>
      <w:pPr>
        <w:ind w:left="640" w:right="140" w:hanging="253"/>
        <w:spacing w:after="0" w:line="273"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Company not winning a task order under the HALEU Production Contract, LEU Production Contract and HALEU Deconversion Contract to expand the capacity of the American Centrifuge plant;</w:t>
      </w:r>
    </w:p>
    <w:p>
      <w:pPr>
        <w:spacing w:after="0" w:line="5" w:lineRule="exact"/>
        <w:rPr>
          <w:rFonts w:ascii="Times New Roman" w:cs="Times New Roman" w:eastAsia="Times New Roman" w:hAnsi="Times New Roman"/>
          <w:sz w:val="16"/>
          <w:szCs w:val="16"/>
          <w:color w:val="auto"/>
        </w:rPr>
      </w:pPr>
    </w:p>
    <w:p>
      <w:pPr>
        <w:ind w:left="640" w:right="60" w:hanging="253"/>
        <w:spacing w:after="0" w:line="259"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DOE not providing adequate share of the appropriated funding to the Company under any of the HALEU Production Contract, LEU Production Contract, or HALEU Deconversion Contract;</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secure financing to expand our plant for LEU or HALEU or expand it to the level that would make it commercially viable;</w:t>
      </w:r>
    </w:p>
    <w:p>
      <w:pPr>
        <w:spacing w:after="0" w:line="38" w:lineRule="exact"/>
        <w:rPr>
          <w:rFonts w:ascii="Times New Roman" w:cs="Times New Roman" w:eastAsia="Times New Roman" w:hAnsi="Times New Roman"/>
          <w:sz w:val="16"/>
          <w:szCs w:val="16"/>
          <w:color w:val="auto"/>
        </w:rPr>
      </w:pPr>
    </w:p>
    <w:p>
      <w:pPr>
        <w:ind w:left="640" w:right="120" w:hanging="253"/>
        <w:spacing w:after="0" w:line="269"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DOE not exercising additional options under Phase 3 of the HALEU Operation Contract or awarding a third party to continue the HALEU Operation Contract;</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inability to increase capacity for HALEU or LEU in a timely manner to meet market demand or our contractual obligations;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DOE not awarding any contracts to the Company in response to the Company’s future proposals;</w:t>
      </w:r>
    </w:p>
    <w:p>
      <w:pPr>
        <w:spacing w:after="0" w:line="49" w:lineRule="exact"/>
        <w:rPr>
          <w:rFonts w:ascii="Times New Roman" w:cs="Times New Roman" w:eastAsia="Times New Roman" w:hAnsi="Times New Roman"/>
          <w:sz w:val="16"/>
          <w:szCs w:val="16"/>
          <w:color w:val="auto"/>
        </w:rPr>
      </w:pPr>
    </w:p>
    <w:p>
      <w:pPr>
        <w:ind w:left="640" w:hanging="253"/>
        <w:spacing w:after="0" w:line="259"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risks related to reliance on the only firm that has the necessary permits and capability to transport LEU from Russia to the United States and that firm’s ability to maintain those permits and capabilities or secure additional permits;</w:t>
      </w:r>
    </w:p>
    <w:p>
      <w:pPr>
        <w:spacing w:after="0" w:line="16" w:lineRule="exact"/>
        <w:rPr>
          <w:rFonts w:ascii="Times New Roman" w:cs="Times New Roman" w:eastAsia="Times New Roman" w:hAnsi="Times New Roman"/>
          <w:sz w:val="14"/>
          <w:szCs w:val="14"/>
          <w:color w:val="auto"/>
        </w:rPr>
      </w:pPr>
    </w:p>
    <w:p>
      <w:pPr>
        <w:ind w:left="640" w:right="460" w:hanging="253"/>
        <w:spacing w:after="0" w:line="254"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 government shutdown or lack of funding that could result in program cancellations, disruptions and/or stop work orders and could limit the U.S. government’s ability to make timely payments, including under Executive Order 14158, and our ability to perform our U.S. government contracts and successfully compete for work including under the HALEU Operation Contract;</w:t>
      </w:r>
    </w:p>
    <w:p>
      <w:pPr>
        <w:spacing w:after="0" w:line="2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to the U.S. government’s appropriated funding levels for HALEU Operation Contract due to changes in U.S. government policy or other reasons;</w:t>
      </w:r>
    </w:p>
    <w:p>
      <w:pPr>
        <w:spacing w:after="0" w:line="61"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uncertainty regarding our ability to commercially deploy competitive enrichment technology;</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potential for demobilization or termination of the HALEU Operation Contract;</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will not be able to timely complete the work that we are obligated to perform;</w:t>
      </w:r>
    </w:p>
    <w:p>
      <w:pPr>
        <w:spacing w:after="0" w:line="49" w:lineRule="exact"/>
        <w:rPr>
          <w:rFonts w:ascii="Times New Roman" w:cs="Times New Roman" w:eastAsia="Times New Roman" w:hAnsi="Times New Roman"/>
          <w:sz w:val="16"/>
          <w:szCs w:val="16"/>
          <w:color w:val="auto"/>
        </w:rPr>
      </w:pPr>
    </w:p>
    <w:p>
      <w:pPr>
        <w:ind w:left="640" w:right="20" w:hanging="253"/>
        <w:spacing w:after="0" w:line="273"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government’s inability to satisfy its obligations, including supplying government furnished equipment necessary for us to produce and deliver HALEU under the HALEU Operation Contract and processing security clearance applications resulting from a government shutdown or other reasons;</w:t>
      </w: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7" w:name="page8"/>
    <w:bookmarkEnd w:id="7"/>
    <w:p>
      <w:pPr>
        <w:ind w:left="640" w:hanging="253"/>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inability to obtain the government’s approval to extend the term of, or the scope of permitted activities under, our lease with the DOE in Piketon, Ohio;</w:t>
      </w:r>
    </w:p>
    <w:p>
      <w:pPr>
        <w:spacing w:after="0" w:line="72" w:lineRule="exact"/>
        <w:rPr>
          <w:rFonts w:ascii="Times New Roman" w:cs="Times New Roman" w:eastAsia="Times New Roman" w:hAnsi="Times New Roman"/>
          <w:sz w:val="14"/>
          <w:szCs w:val="14"/>
          <w:color w:val="auto"/>
        </w:rPr>
      </w:pPr>
    </w:p>
    <w:p>
      <w:pPr>
        <w:ind w:left="640" w:right="400" w:hanging="253"/>
        <w:spacing w:after="0" w:line="259" w:lineRule="auto"/>
        <w:tabs>
          <w:tab w:leader="none" w:pos="6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security, including cybersecurity, incidents that may impact our business operations, including incidents that may relate to the ongoing conflict in the Middle East and other regions of concern;</w:t>
      </w:r>
    </w:p>
    <w:p>
      <w:pPr>
        <w:spacing w:after="0" w:line="16" w:lineRule="exact"/>
        <w:rPr>
          <w:rFonts w:ascii="Times New Roman" w:cs="Times New Roman" w:eastAsia="Times New Roman" w:hAnsi="Times New Roman"/>
          <w:sz w:val="16"/>
          <w:szCs w:val="16"/>
          <w:color w:val="auto"/>
        </w:rPr>
      </w:pPr>
    </w:p>
    <w:p>
      <w:pPr>
        <w:ind w:left="640" w:right="100" w:hanging="253"/>
        <w:spacing w:after="0" w:line="259" w:lineRule="auto"/>
        <w:tabs>
          <w:tab w:leader="none" w:pos="6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inability to perform fixed-price and cost-share contracts such as the HALEU Operation Contract, including the risk that costs that we must bear could be higher than expected and the risk related to complying with stringent government contractual requirements; and</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inability to attract qualified employees necessary for the potential expansion of our operations in Oak Ridge, Tennessee or Piketon, Ohio.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financial factors </w:t>
      </w:r>
      <w:r>
        <w:rPr>
          <w:rFonts w:ascii="Times New Roman" w:cs="Times New Roman" w:eastAsia="Times New Roman" w:hAnsi="Times New Roman"/>
          <w:sz w:val="16"/>
          <w:szCs w:val="16"/>
          <w:color w:val="auto"/>
        </w:rPr>
        <w:t>primarily include:</w:t>
      </w:r>
    </w:p>
    <w:p>
      <w:pPr>
        <w:spacing w:after="0" w:line="41" w:lineRule="exact"/>
        <w:rPr>
          <w:sz w:val="20"/>
          <w:szCs w:val="20"/>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long-term liabilities, including our defined benefit pension plan obligations and postretirement health and life benefit obligations;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2.25% Convertible Notes maturing in 2030;</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revenue and operating results fluctuating significantly from quarter to quarter, and in some cases, year to year;</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impact of financial market conditions on our business, liquidity, prospects, pension assets and insurance facilities;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Company’s capital concentration;</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value of our intangible assets related to LEU segment’s backlog and customer relationships;</w:t>
      </w:r>
    </w:p>
    <w:p>
      <w:pPr>
        <w:spacing w:after="0" w:line="49" w:lineRule="exact"/>
        <w:rPr>
          <w:rFonts w:ascii="Times New Roman" w:cs="Times New Roman" w:eastAsia="Times New Roman" w:hAnsi="Times New Roman"/>
          <w:sz w:val="16"/>
          <w:szCs w:val="16"/>
          <w:color w:val="auto"/>
        </w:rPr>
      </w:pPr>
    </w:p>
    <w:p>
      <w:pPr>
        <w:ind w:left="640" w:right="220" w:hanging="253"/>
        <w:spacing w:after="0" w:line="259" w:lineRule="auto"/>
        <w:tabs>
          <w:tab w:leader="none" w:pos="6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decisions made by our Class B Common Stock stockholders regarding their investment in the Company, including decisions based upon factors that are unrelated to the Company’s performance;</w:t>
      </w:r>
    </w:p>
    <w:p>
      <w:pPr>
        <w:spacing w:after="0" w:line="16" w:lineRule="exact"/>
        <w:rPr>
          <w:rFonts w:ascii="Times New Roman" w:cs="Times New Roman" w:eastAsia="Times New Roman" w:hAnsi="Times New Roman"/>
          <w:sz w:val="16"/>
          <w:szCs w:val="16"/>
          <w:color w:val="auto"/>
        </w:rPr>
      </w:pPr>
    </w:p>
    <w:p>
      <w:pPr>
        <w:ind w:left="640" w:right="320" w:hanging="253"/>
        <w:spacing w:after="0" w:line="308" w:lineRule="auto"/>
        <w:tabs>
          <w:tab w:leader="none" w:pos="63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w:t>
      </w:r>
    </w:p>
    <w:p>
      <w:pPr>
        <w:ind w:left="640" w:right="40" w:hanging="253"/>
        <w:spacing w:after="0" w:line="254" w:lineRule="auto"/>
        <w:tabs>
          <w:tab w:leader="none" w:pos="6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 the use of our NOL carryforwards and NUBILs to offset future taxable income and the use of the Rights Agreement to prevent an “ownership change” as defined in Section 382 of the Internal Revenue Code and (ii) our ability to generate taxable income to utilize all or a portion of the NOLs prior to the expiration thereof and NUBILs; and</w:t>
      </w:r>
    </w:p>
    <w:p>
      <w:pPr>
        <w:spacing w:after="0" w:line="2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failures or security, including cybersecurity, breaches of our information technology systems.</w:t>
      </w:r>
    </w:p>
    <w:p>
      <w:pPr>
        <w:spacing w:after="0" w:line="2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Risks related to general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hanging="253"/>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attract and retain key personnel;</w:t>
      </w:r>
    </w:p>
    <w:p>
      <w:pPr>
        <w:spacing w:after="0" w:line="49" w:lineRule="exact"/>
        <w:rPr>
          <w:rFonts w:ascii="Times New Roman" w:cs="Times New Roman" w:eastAsia="Times New Roman" w:hAnsi="Times New Roman"/>
          <w:sz w:val="16"/>
          <w:szCs w:val="16"/>
          <w:color w:val="auto"/>
        </w:rPr>
      </w:pPr>
    </w:p>
    <w:p>
      <w:pPr>
        <w:ind w:left="640" w:hanging="253"/>
        <w:spacing w:after="0" w:line="259"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will be unable to obtain new business opportunities or achieve market acceptance of our products and services or that products or services provided by others will render our products or services obsolete or noncompetitive;</w:t>
      </w:r>
    </w:p>
    <w:p>
      <w:pPr>
        <w:spacing w:after="0" w:line="16" w:lineRule="exact"/>
        <w:rPr>
          <w:rFonts w:ascii="Times New Roman" w:cs="Times New Roman" w:eastAsia="Times New Roman" w:hAnsi="Times New Roman"/>
          <w:sz w:val="16"/>
          <w:szCs w:val="16"/>
          <w:color w:val="auto"/>
        </w:rPr>
      </w:pPr>
    </w:p>
    <w:p>
      <w:pPr>
        <w:ind w:left="640" w:right="160" w:hanging="253"/>
        <w:spacing w:after="0" w:line="259"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actions, including investigations, reviews or audits, that may be taken by the U.S. government, the Russian government, or other governments that could affect our ability to perform under our contractual obligations or the ability of our sources of supply to perform under their contractual obligations to us;</w:t>
      </w:r>
    </w:p>
    <w:p>
      <w:pPr>
        <w:spacing w:after="0" w:line="16" w:lineRule="exact"/>
        <w:rPr>
          <w:rFonts w:ascii="Times New Roman" w:cs="Times New Roman" w:eastAsia="Times New Roman" w:hAnsi="Times New Roman"/>
          <w:sz w:val="16"/>
          <w:szCs w:val="16"/>
          <w:color w:val="auto"/>
        </w:rPr>
      </w:pPr>
    </w:p>
    <w:p>
      <w:pPr>
        <w:ind w:left="640" w:right="400" w:hanging="253"/>
        <w:spacing w:after="0" w:line="273"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inability to perform and receive timely payment under our agreements with the DOE or other government agencies, including risks related to the ongoing funding by the government and potential audits;</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8" w:name="page9"/>
    <w:bookmarkEnd w:id="8"/>
    <w:p>
      <w:pPr>
        <w:ind w:left="640" w:right="800" w:hanging="253"/>
        <w:spacing w:after="0" w:line="269" w:lineRule="auto"/>
        <w:tabs>
          <w:tab w:leader="none" w:pos="6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how aligned we may be, or perceived to be, with any political party, administration, or its policies based on our positions or our political action committee’s advocacy;</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or termination of our agreements with the U.S. government or other counterparties, or the exercise of contract remedies by such counterparties;</w:t>
      </w:r>
    </w:p>
    <w:p>
      <w:pPr>
        <w:spacing w:after="0" w:line="72"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competitive environment for our products and services;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changes in the nuclear energy industry;</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competitive bidding process associated with obtaining contracts, including government contracts; and</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strategic transactions that could be difficult to implement, that could disrupt our business or that could change our business profile significantly.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legal and compliance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outcome of legal proceedings and other contingencies (including lawsuits and government investigations or audits);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impact of, or changes to, government regulation and policies or interpretation of laws or regulations, including by the DOE, DOC and the NRC;</w:t>
      </w:r>
    </w:p>
    <w:p>
      <w:pPr>
        <w:spacing w:after="0" w:line="49" w:lineRule="exact"/>
        <w:rPr>
          <w:rFonts w:ascii="Times New Roman" w:cs="Times New Roman" w:eastAsia="Times New Roman" w:hAnsi="Times New Roman"/>
          <w:sz w:val="16"/>
          <w:szCs w:val="16"/>
          <w:color w:val="auto"/>
        </w:rPr>
      </w:pPr>
    </w:p>
    <w:p>
      <w:pPr>
        <w:ind w:left="640" w:right="420" w:hanging="253"/>
        <w:spacing w:after="0" w:line="269" w:lineRule="auto"/>
        <w:tabs>
          <w:tab w:leader="none" w:pos="6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recent U.S. federal government administration’s reliance on executive orders to implement regulatory or trade policy and objectives, which could exacerbate regulatory or, private or public, financing unpredictability;</w:t>
      </w:r>
    </w:p>
    <w:p>
      <w:pPr>
        <w:spacing w:after="0" w:line="1" w:lineRule="exact"/>
        <w:rPr>
          <w:rFonts w:ascii="Times New Roman" w:cs="Times New Roman" w:eastAsia="Times New Roman" w:hAnsi="Times New Roman"/>
          <w:sz w:val="16"/>
          <w:szCs w:val="16"/>
          <w:color w:val="auto"/>
        </w:rPr>
      </w:pPr>
    </w:p>
    <w:p>
      <w:pPr>
        <w:ind w:left="640" w:right="320" w:hanging="253"/>
        <w:spacing w:after="0" w:line="269" w:lineRule="auto"/>
        <w:tabs>
          <w:tab w:leader="none" w:pos="6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accidents during the transportation, handling, or processing of toxic hazardous or radioactive material that may pose a health risk to humans or animals, cause property or environmental damage, or result in precautionary evacuations, and lead to claims against the Company;</w:t>
      </w:r>
    </w:p>
    <w:p>
      <w:pPr>
        <w:spacing w:after="0" w:line="1" w:lineRule="exact"/>
        <w:rPr>
          <w:rFonts w:ascii="Times New Roman" w:cs="Times New Roman" w:eastAsia="Times New Roman" w:hAnsi="Times New Roman"/>
          <w:sz w:val="16"/>
          <w:szCs w:val="16"/>
          <w:color w:val="auto"/>
        </w:rPr>
      </w:pPr>
    </w:p>
    <w:p>
      <w:pPr>
        <w:ind w:left="640" w:right="540" w:hanging="253"/>
        <w:spacing w:after="0" w:line="273" w:lineRule="auto"/>
        <w:tabs>
          <w:tab w:leader="none" w:pos="6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claims and litigation arising from past activities at sites we currently operate or past activities at sites that we no longer operate, including the Paducah GDP and Portsmouth GDP; and</w:t>
      </w:r>
    </w:p>
    <w:p>
      <w:pPr>
        <w:spacing w:after="0" w:line="5"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discussed in this and our other filings with the SEC.</w:t>
      </w:r>
    </w:p>
    <w:p>
      <w:pPr>
        <w:spacing w:after="0" w:line="23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For a more detailed discussion of these risks and others that could cause actual results to differ materially from those contained in our forward-looking statements, please see our Annual Report on Form 10-K for the year ended December 31, 2024. These factors may not constitute all factors that could cause actual results to differ from those discussed in any forward-looking statement. Accordingly, forward-looking statements should not be relied upon as a predictor of actual results.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color w:val="auto"/>
        </w:rPr>
        <w:t>CENTRUS ENERGY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in millions, except share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60" w:type="dxa"/>
            <w:vAlign w:val="bottom"/>
          </w:tcPr>
          <w:p>
            <w:pPr>
              <w:spacing w:after="0"/>
              <w:rPr>
                <w:sz w:val="12"/>
                <w:szCs w:val="12"/>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64"/>
        </w:trPr>
        <w:tc>
          <w:tcPr>
            <w:tcW w:w="8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6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671.4</w:t>
            </w:r>
          </w:p>
        </w:tc>
        <w:tc>
          <w:tcPr>
            <w:tcW w:w="0" w:type="dxa"/>
            <w:vAlign w:val="bottom"/>
          </w:tcPr>
          <w:p>
            <w:pPr>
              <w:spacing w:after="0"/>
              <w:rPr>
                <w:sz w:val="1"/>
                <w:szCs w:val="1"/>
                <w:color w:val="auto"/>
              </w:rPr>
            </w:pPr>
          </w:p>
        </w:tc>
      </w:tr>
      <w:tr>
        <w:trPr>
          <w:trHeight w:val="177"/>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0" w:type="dxa"/>
            <w:vAlign w:val="bottom"/>
          </w:tcPr>
          <w:p>
            <w:pPr>
              <w:spacing w:after="0"/>
              <w:rPr>
                <w:sz w:val="1"/>
                <w:szCs w:val="1"/>
                <w:color w:val="auto"/>
              </w:rPr>
            </w:pPr>
          </w:p>
        </w:tc>
      </w:tr>
      <w:tr>
        <w:trPr>
          <w:trHeight w:val="177"/>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costs associated with deferred revenue</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168"/>
        </w:trPr>
        <w:tc>
          <w:tcPr>
            <w:tcW w:w="8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1,015.2</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 of accumulated depreciation of $5.9 million and $5.3 million as of June 30, 2025 and December 31, 2024, respectively</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77"/>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Deposits for financial assurance</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80"/>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7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74"/>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1,314.8</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1,093.4</w:t>
            </w:r>
          </w:p>
        </w:tc>
        <w:tc>
          <w:tcPr>
            <w:tcW w:w="0" w:type="dxa"/>
            <w:vAlign w:val="bottom"/>
          </w:tcPr>
          <w:p>
            <w:pPr>
              <w:spacing w:after="0"/>
              <w:rPr>
                <w:sz w:val="1"/>
                <w:szCs w:val="1"/>
                <w:color w:val="auto"/>
              </w:rPr>
            </w:pPr>
          </w:p>
        </w:tc>
      </w:tr>
      <w:tr>
        <w:trPr>
          <w:trHeight w:val="71"/>
        </w:trPr>
        <w:tc>
          <w:tcPr>
            <w:tcW w:w="8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8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6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77"/>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 and advances from customers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0" w:type="dxa"/>
            <w:vAlign w:val="bottom"/>
          </w:tcPr>
          <w:p>
            <w:pPr>
              <w:spacing w:after="0"/>
              <w:rPr>
                <w:sz w:val="1"/>
                <w:szCs w:val="1"/>
                <w:color w:val="auto"/>
              </w:rPr>
            </w:pPr>
          </w:p>
        </w:tc>
      </w:tr>
      <w:tr>
        <w:trPr>
          <w:trHeight w:val="177"/>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Short-term inventory loans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8"/>
        </w:trPr>
        <w:tc>
          <w:tcPr>
            <w:tcW w:w="8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482.2</w:t>
            </w: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346.8</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472.5</w:t>
            </w:r>
          </w:p>
        </w:tc>
        <w:tc>
          <w:tcPr>
            <w:tcW w:w="0" w:type="dxa"/>
            <w:vAlign w:val="bottom"/>
          </w:tcPr>
          <w:p>
            <w:pPr>
              <w:spacing w:after="0"/>
              <w:rPr>
                <w:sz w:val="1"/>
                <w:szCs w:val="1"/>
                <w:color w:val="auto"/>
              </w:rPr>
            </w:pPr>
          </w:p>
        </w:tc>
      </w:tr>
      <w:tr>
        <w:trPr>
          <w:trHeight w:val="177"/>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Postretirement health and life benefit obligations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benefit liabilities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7"/>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inventory loans</w:t>
            </w:r>
          </w:p>
        </w:tc>
        <w:tc>
          <w:tcPr>
            <w:tcW w:w="2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68"/>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932.0</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11)</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stock, par value $1.00 per share, 20,000,000 shares authorized</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Series A Participating Cumulative Preferred Stock, none issued</w:t>
            </w:r>
          </w:p>
        </w:tc>
        <w:tc>
          <w:tcPr>
            <w:tcW w:w="2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Series B Senior Preferred Stock, none issued</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862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rPr>
              <w:t>Class A Common Stock, par value $0.10 per share, 70,000,000 shares authorized, 17,488,642 and 16,045,916 shares issued and outstanding as of June 30,</w:t>
            </w: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7"/>
        </w:trPr>
        <w:tc>
          <w:tcPr>
            <w:tcW w:w="86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2025 and December 31, 2024, respectively</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620" w:type="dxa"/>
            <w:vAlign w:val="bottom"/>
            <w:shd w:val="clear" w:color="auto" w:fill="CCEEFF"/>
          </w:tcPr>
          <w:p>
            <w:pPr>
              <w:ind w:left="120"/>
              <w:spacing w:after="0" w:line="131" w:lineRule="exact"/>
              <w:rPr>
                <w:sz w:val="20"/>
                <w:szCs w:val="20"/>
                <w:color w:val="auto"/>
              </w:rPr>
            </w:pPr>
            <w:r>
              <w:rPr>
                <w:rFonts w:ascii="Times New Roman" w:cs="Times New Roman" w:eastAsia="Times New Roman" w:hAnsi="Times New Roman"/>
                <w:sz w:val="13"/>
                <w:szCs w:val="13"/>
                <w:color w:val="auto"/>
              </w:rPr>
              <w:t>Class B Common Stock, par value $0.10 per share, 30,000,000 shares authorized, 719,200 shares issued and outstanding as of June 30, 2025 and</w:t>
            </w:r>
          </w:p>
        </w:tc>
        <w:tc>
          <w:tcPr>
            <w:tcW w:w="2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0"/>
        </w:trPr>
        <w:tc>
          <w:tcPr>
            <w:tcW w:w="8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December 31, 2024</w:t>
            </w:r>
          </w:p>
        </w:tc>
        <w:tc>
          <w:tcPr>
            <w:tcW w:w="2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Excess of capital over par value</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deficit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0" w:type="dxa"/>
            <w:vAlign w:val="bottom"/>
          </w:tcPr>
          <w:p>
            <w:pPr>
              <w:spacing w:after="0"/>
              <w:rPr>
                <w:sz w:val="1"/>
                <w:szCs w:val="1"/>
                <w:color w:val="auto"/>
              </w:rPr>
            </w:pPr>
          </w:p>
        </w:tc>
      </w:tr>
      <w:tr>
        <w:trPr>
          <w:trHeight w:val="177"/>
        </w:trPr>
        <w:tc>
          <w:tcPr>
            <w:tcW w:w="8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71"/>
        </w:trPr>
        <w:tc>
          <w:tcPr>
            <w:tcW w:w="8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0" w:type="dxa"/>
            <w:vAlign w:val="bottom"/>
          </w:tcPr>
          <w:p>
            <w:pPr>
              <w:spacing w:after="0"/>
              <w:rPr>
                <w:sz w:val="1"/>
                <w:szCs w:val="1"/>
                <w:color w:val="auto"/>
              </w:rPr>
            </w:pPr>
          </w:p>
        </w:tc>
      </w:tr>
      <w:tr>
        <w:trPr>
          <w:trHeight w:val="174"/>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1,314.8</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1,093.4</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share and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2140" w:type="dxa"/>
            <w:vAlign w:val="bottom"/>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5"/>
        </w:trPr>
        <w:tc>
          <w:tcPr>
            <w:tcW w:w="58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Separative work units</w:t>
            </w: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0" w:type="dxa"/>
            <w:vAlign w:val="bottom"/>
          </w:tcPr>
          <w:p>
            <w:pPr>
              <w:spacing w:after="0"/>
              <w:rPr>
                <w:sz w:val="1"/>
                <w:szCs w:val="1"/>
                <w:color w:val="auto"/>
              </w:rPr>
            </w:pPr>
          </w:p>
        </w:tc>
      </w:tr>
      <w:tr>
        <w:trPr>
          <w:trHeight w:val="177"/>
        </w:trPr>
        <w:tc>
          <w:tcPr>
            <w:tcW w:w="5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Uranium</w:t>
            </w:r>
          </w:p>
        </w:tc>
        <w:tc>
          <w:tcPr>
            <w:tcW w:w="7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Technical solutions</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0" w:type="dxa"/>
            <w:vAlign w:val="bottom"/>
          </w:tcPr>
          <w:p>
            <w:pPr>
              <w:spacing w:after="0"/>
              <w:rPr>
                <w:sz w:val="1"/>
                <w:szCs w:val="1"/>
                <w:color w:val="auto"/>
              </w:rPr>
            </w:pPr>
          </w:p>
        </w:tc>
      </w:tr>
      <w:tr>
        <w:trPr>
          <w:trHeight w:val="168"/>
        </w:trPr>
        <w:tc>
          <w:tcPr>
            <w:tcW w:w="5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w:t>
            </w: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232.7</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Separative work units and uranium</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Technical solutions</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68"/>
        </w:trPr>
        <w:tc>
          <w:tcPr>
            <w:tcW w:w="5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cost of sales</w:t>
            </w: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152.5</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191.9</w:t>
            </w:r>
          </w:p>
        </w:tc>
        <w:tc>
          <w:tcPr>
            <w:tcW w:w="0" w:type="dxa"/>
            <w:vAlign w:val="bottom"/>
          </w:tcPr>
          <w:p>
            <w:pPr>
              <w:spacing w:after="0"/>
              <w:rPr>
                <w:sz w:val="1"/>
                <w:szCs w:val="1"/>
                <w:color w:val="auto"/>
              </w:rPr>
            </w:pPr>
          </w:p>
        </w:tc>
      </w:tr>
      <w:tr>
        <w:trPr>
          <w:trHeight w:val="17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compensation</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8"/>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Nonoperating components of net periodic benefit loss</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income</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7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expense, net</w:t>
            </w:r>
          </w:p>
        </w:tc>
        <w:tc>
          <w:tcPr>
            <w:tcW w:w="7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8"/>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7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50"/>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and comprehensive income</w:t>
            </w:r>
          </w:p>
        </w:tc>
        <w:tc>
          <w:tcPr>
            <w:tcW w:w="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40" w:type="dxa"/>
            <w:vAlign w:val="bottom"/>
          </w:tcPr>
          <w:p>
            <w:pPr>
              <w:spacing w:after="0"/>
              <w:rPr>
                <w:sz w:val="13"/>
                <w:szCs w:val="13"/>
                <w:color w:val="auto"/>
              </w:rPr>
            </w:pPr>
          </w:p>
        </w:tc>
        <w:tc>
          <w:tcPr>
            <w:tcW w:w="4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share:</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77"/>
        </w:trPr>
        <w:tc>
          <w:tcPr>
            <w:tcW w:w="5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40" w:type="dxa"/>
            <w:vAlign w:val="bottom"/>
          </w:tcPr>
          <w:p>
            <w:pPr>
              <w:spacing w:after="0"/>
              <w:rPr>
                <w:sz w:val="15"/>
                <w:szCs w:val="15"/>
                <w:color w:val="auto"/>
              </w:rPr>
            </w:pP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4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40" w:type="dxa"/>
            <w:vAlign w:val="bottom"/>
          </w:tcPr>
          <w:p>
            <w:pPr>
              <w:spacing w:after="0"/>
              <w:rPr>
                <w:sz w:val="15"/>
                <w:szCs w:val="15"/>
                <w:color w:val="auto"/>
              </w:rPr>
            </w:pPr>
          </w:p>
        </w:tc>
        <w:tc>
          <w:tcPr>
            <w:tcW w:w="44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Average number of common shares outstanding (in thousands):</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17,703</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16,045</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16,226</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17,406</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Six Months Ended June 30,</w:t>
            </w:r>
          </w:p>
        </w:tc>
        <w:tc>
          <w:tcPr>
            <w:tcW w:w="1000" w:type="dxa"/>
            <w:vAlign w:val="bottom"/>
            <w:tcBorders>
              <w:bottom w:val="single" w:sz="8" w:color="auto"/>
            </w:tcBorders>
          </w:tcPr>
          <w:p>
            <w:pPr>
              <w:spacing w:after="0"/>
              <w:rPr>
                <w:sz w:val="14"/>
                <w:szCs w:val="14"/>
                <w:color w:val="auto"/>
              </w:rPr>
            </w:pPr>
          </w:p>
        </w:tc>
      </w:tr>
      <w:tr>
        <w:trPr>
          <w:trHeight w:val="161"/>
        </w:trPr>
        <w:tc>
          <w:tcPr>
            <w:tcW w:w="72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20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7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cash used in operating activities: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tax assets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remeasurement of retirement benefit plans</w:t>
            </w:r>
          </w:p>
        </w:tc>
        <w:tc>
          <w:tcPr>
            <w:tcW w:w="10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related compensation</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Revaluation of inventory borrowings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extinguishment of 8.25% Notes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reconciling adjustments, net</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receivable</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Inventories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w:t>
            </w: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current assets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revenue and advances from customers, net of deferred costs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Pension and postretirement benefit liabilities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7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changes, net</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0"/>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2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67"/>
        </w:trPr>
        <w:tc>
          <w:tcPr>
            <w:tcW w:w="7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8"/>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0"/>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67"/>
        </w:trPr>
        <w:tc>
          <w:tcPr>
            <w:tcW w:w="7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net</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7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withheld for tax obligations under stock-based compensation plan</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interest classified as debt</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8"/>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Payment of principal to redeem 8.25% Notes</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2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67"/>
        </w:trPr>
        <w:tc>
          <w:tcPr>
            <w:tcW w:w="728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5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0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67"/>
        </w:trPr>
        <w:tc>
          <w:tcPr>
            <w:tcW w:w="7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in cash, cash equivalents and restricted cash</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r>
      <w:tr>
        <w:trPr>
          <w:trHeight w:val="168"/>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 (Note 3)</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704.0</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233.8</w:t>
            </w:r>
          </w:p>
        </w:tc>
      </w:tr>
      <w:tr>
        <w:trPr>
          <w:trHeight w:val="18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end of period (Note 3)</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847.0</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7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Supplemental cash flow disclosures: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paid for interest</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85"/>
        </w:trPr>
        <w:tc>
          <w:tcPr>
            <w:tcW w:w="7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activities: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 of right to use lease assets from lease modification</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 included in accounts payable and accrued liabilities</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issuance costs included in accounts payable and accrued liabilities</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withheld for tax obligations under stock-based compensation plan</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300" w:top="950" w:right="7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Excess of</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9"/>
                <w:szCs w:val="9"/>
                <w:color w:val="auto"/>
              </w:rPr>
            </w:pPr>
          </w:p>
        </w:tc>
        <w:tc>
          <w:tcPr>
            <w:tcW w:w="9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Capital Over</w:t>
            </w: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20" w:type="dxa"/>
            <w:vAlign w:val="bottom"/>
          </w:tcPr>
          <w:p>
            <w:pPr>
              <w:spacing w:after="0"/>
              <w:rPr>
                <w:sz w:val="10"/>
                <w:szCs w:val="10"/>
                <w:color w:val="auto"/>
              </w:rPr>
            </w:pPr>
          </w:p>
        </w:tc>
        <w:tc>
          <w:tcPr>
            <w:tcW w:w="13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220" w:type="dxa"/>
            <w:vAlign w:val="bottom"/>
          </w:tcPr>
          <w:p>
            <w:pPr>
              <w:spacing w:after="0"/>
              <w:rPr>
                <w:sz w:val="10"/>
                <w:szCs w:val="10"/>
                <w:color w:val="auto"/>
              </w:rPr>
            </w:pPr>
          </w:p>
        </w:tc>
        <w:tc>
          <w:tcPr>
            <w:tcW w:w="76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8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6"/>
              </w:rPr>
              <w:t>(0.3)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three months ended March 31, 2024</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3"/>
                <w:szCs w:val="13"/>
                <w:color w:val="auto"/>
                <w:w w:val="96"/>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188.2</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33.8</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June 30, 2024</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Stock-based compensation shares withheld for income</w:t>
            </w:r>
          </w:p>
        </w:tc>
        <w:tc>
          <w:tcPr>
            <w:tcW w:w="8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8"/>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(125.0)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24"/>
                <w:szCs w:val="2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Excess of</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Capital Over</w:t>
            </w: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20" w:type="dxa"/>
            <w:vAlign w:val="bottom"/>
          </w:tcPr>
          <w:p>
            <w:pPr>
              <w:spacing w:after="0"/>
              <w:rPr>
                <w:sz w:val="10"/>
                <w:szCs w:val="10"/>
                <w:color w:val="auto"/>
              </w:rPr>
            </w:pPr>
          </w:p>
        </w:tc>
        <w:tc>
          <w:tcPr>
            <w:tcW w:w="13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220" w:type="dxa"/>
            <w:vAlign w:val="bottom"/>
          </w:tcPr>
          <w:p>
            <w:pPr>
              <w:spacing w:after="0"/>
              <w:rPr>
                <w:sz w:val="10"/>
                <w:szCs w:val="10"/>
                <w:color w:val="auto"/>
              </w:rPr>
            </w:pPr>
          </w:p>
        </w:tc>
        <w:tc>
          <w:tcPr>
            <w:tcW w:w="76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8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0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6"/>
              </w:rPr>
              <w:t>(0.5)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March 31, 2025</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Stock-based compensation shares withheld for income</w:t>
            </w:r>
          </w:p>
        </w:tc>
        <w:tc>
          <w:tcPr>
            <w:tcW w:w="8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8"/>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6"/>
              </w:rPr>
              <w:t>(0.1)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8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0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June 30, 2025</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Stock-based compensation shares withheld for income</w:t>
            </w: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8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759"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CENTRUS ENERGY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89" w:lineRule="exact"/>
        <w:rPr>
          <w:sz w:val="20"/>
          <w:szCs w:val="20"/>
          <w:color w:val="auto"/>
        </w:rPr>
      </w:pPr>
    </w:p>
    <w:p>
      <w:pPr>
        <w:ind w:firstLine="191"/>
        <w:spacing w:after="0" w:line="289" w:lineRule="auto"/>
        <w:rPr>
          <w:sz w:val="20"/>
          <w:szCs w:val="20"/>
          <w:color w:val="auto"/>
        </w:rPr>
      </w:pPr>
      <w:r>
        <w:rPr>
          <w:rFonts w:ascii="Times New Roman" w:cs="Times New Roman" w:eastAsia="Times New Roman" w:hAnsi="Times New Roman"/>
          <w:sz w:val="14"/>
          <w:szCs w:val="14"/>
          <w:color w:val="auto"/>
        </w:rPr>
        <w:t>The unaudited Consolidated Financial Statements of Centrus (the “Company”), which include the accounts of the Company, its principal subsidiary, Enrichment Corp., and its other subsidiaries, as of June 30, 2025, and for the three and six months ended June 30, 2025, and 2024, have been prepared pursuant to the rules and regulations of the SEC. The unaudited Consolidated Balance Sheet as of December 31, 2024, was derived from audited Consolidated Financial Statements, but does not include all disclosures required by U.S. GAAP. In the opinion of management, the unaudited Consolidated Financial Statements reflect all adjustments, including normal recurring adjustments, necessary for a fair statement of the financial results for the interim period. Certain prior year amounts have been reclassified for consistency with the current year presentation. Certain information and notes normally included in financial statements prepared in accordance with U.S. GAAP have been omitted pursuant to such rules and regulations. All material intercompany transactions have been eliminated. The Company’s components of comprehensive income for the three and six months ended June 30, 2025 and 2024, are insignificant.</w:t>
      </w:r>
    </w:p>
    <w:p>
      <w:pPr>
        <w:spacing w:after="0" w:line="15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Operating results for the three and six months ended June 30, 2025, are not necessarily indicative of the results that may be expected for the year ending December 31, 2025. The unaudited Consolidated Financial Statements should be read in conjunction with the Consolidated Financial Statements included in the Annual Report on Form 10-K for the year ended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98" w:lineRule="exact"/>
        <w:rPr>
          <w:sz w:val="20"/>
          <w:szCs w:val="20"/>
          <w:color w:val="auto"/>
        </w:rPr>
      </w:pPr>
    </w:p>
    <w:p>
      <w:pPr>
        <w:ind w:right="20" w:firstLine="191"/>
        <w:spacing w:after="0" w:line="275" w:lineRule="auto"/>
        <w:rPr>
          <w:sz w:val="20"/>
          <w:szCs w:val="20"/>
          <w:color w:val="auto"/>
        </w:rPr>
      </w:pPr>
      <w:r>
        <w:rPr>
          <w:rFonts w:ascii="Times New Roman" w:cs="Times New Roman" w:eastAsia="Times New Roman" w:hAnsi="Times New Roman"/>
          <w:sz w:val="16"/>
          <w:szCs w:val="16"/>
          <w:color w:val="auto"/>
        </w:rPr>
        <w:t xml:space="preserve">The accounting policies of the Company are set forth in Note 1,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of the Consolidated Financial Statements in the Company’s Annual Report on Form 10-K for the year ended December 31, 2024. There has not been a material change to the Company’s accounting policies since that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Recently Adopted Accounting Standards</w:t>
      </w:r>
    </w:p>
    <w:p>
      <w:pPr>
        <w:spacing w:after="0" w:line="187" w:lineRule="exact"/>
        <w:rPr>
          <w:sz w:val="20"/>
          <w:szCs w:val="20"/>
          <w:color w:val="auto"/>
        </w:rPr>
      </w:pPr>
    </w:p>
    <w:p>
      <w:pPr>
        <w:ind w:right="40" w:firstLine="191"/>
        <w:spacing w:after="0" w:line="244" w:lineRule="auto"/>
        <w:rPr>
          <w:sz w:val="20"/>
          <w:szCs w:val="20"/>
          <w:color w:val="auto"/>
        </w:rPr>
      </w:pPr>
      <w:r>
        <w:rPr>
          <w:rFonts w:ascii="Times New Roman" w:cs="Times New Roman" w:eastAsia="Times New Roman" w:hAnsi="Times New Roman"/>
          <w:sz w:val="16"/>
          <w:szCs w:val="16"/>
          <w:color w:val="auto"/>
        </w:rPr>
        <w:t xml:space="preserve">In November 2023, the Financial Accounting Standards Board (“FASB”) issued Accounting Standards Update ("ASU") 2023-07,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and early adoption is permitted. ASU 2023-07 did not have a material impact on the Company’s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Standards Effective in Future Periods</w:t>
      </w:r>
    </w:p>
    <w:p>
      <w:pPr>
        <w:spacing w:after="0" w:line="187" w:lineRule="exact"/>
        <w:rPr>
          <w:sz w:val="20"/>
          <w:szCs w:val="20"/>
          <w:color w:val="auto"/>
        </w:rPr>
      </w:pPr>
    </w:p>
    <w:p>
      <w:pPr>
        <w:ind w:right="120" w:firstLine="191"/>
        <w:spacing w:after="0" w:line="253"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to improve the transparency of income tax disclosures, primarily through requiring consistent categories and greater disaggregation in the rate reconciliation and requiring disaggregation of income taxes paid by jurisdiction. This pronouncement is effective for fiscal years beginning after December 15, 2024, and early adoption is permitted. Based on the Company’s review, it does not expect the pronouncement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4" w:name="page15"/>
    <w:bookmarkEnd w:id="14"/>
    <w:p>
      <w:pPr>
        <w:ind w:firstLine="191"/>
        <w:spacing w:after="0" w:line="253"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Disaggregation of Income Statement Expenses</w:t>
      </w:r>
      <w:r>
        <w:rPr>
          <w:rFonts w:ascii="Times New Roman" w:cs="Times New Roman" w:eastAsia="Times New Roman" w:hAnsi="Times New Roman"/>
          <w:sz w:val="16"/>
          <w:szCs w:val="16"/>
          <w:color w:val="auto"/>
        </w:rPr>
        <w:t>, requiring public entities to disclose additional information about specific expense categories in the notes to the financial statements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 interim and annual basis. This pronouncement is effective for fiscal years beginning after December 15, 2026, and for interim periods beginning after December 15, 2027, and early adoption is permitted. The Company is evaluating the impact this pronouncement will have on its Consolidated Financial Statements.</w:t>
      </w:r>
    </w:p>
    <w:p>
      <w:pPr>
        <w:spacing w:after="0" w:line="349" w:lineRule="exact"/>
        <w:rPr>
          <w:sz w:val="20"/>
          <w:szCs w:val="20"/>
          <w:color w:val="auto"/>
        </w:rPr>
      </w:pPr>
    </w:p>
    <w:p>
      <w:pPr>
        <w:ind w:right="7420" w:firstLine="5"/>
        <w:spacing w:after="0" w:line="499" w:lineRule="auto"/>
        <w:tabs>
          <w:tab w:leader="none" w:pos="156"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AND CONTRACTS WITH CUSTOMERS Disaggregation of Revenue</w:t>
      </w:r>
    </w:p>
    <w:p>
      <w:pPr>
        <w:ind w:left="2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revenue from SWU and uranium sales disaggregated by geographical region based on the billing addresses of customers (in millions):</w:t>
      </w:r>
    </w:p>
    <w:p>
      <w:pPr>
        <w:spacing w:after="0" w:line="291"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76"/>
        </w:trPr>
        <w:tc>
          <w:tcPr>
            <w:tcW w:w="33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r>
      <w:tr>
        <w:trPr>
          <w:trHeight w:val="177"/>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Foreign</w:t>
            </w: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107.1</w:t>
            </w:r>
          </w:p>
        </w:tc>
      </w:tr>
      <w:tr>
        <w:trPr>
          <w:trHeight w:val="198"/>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 - SWU and uranium</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125.7</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169.6</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193.2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20" w:firstLine="191"/>
        <w:spacing w:after="0" w:line="238" w:lineRule="auto"/>
        <w:rPr>
          <w:sz w:val="20"/>
          <w:szCs w:val="20"/>
          <w:color w:val="auto"/>
        </w:rPr>
      </w:pPr>
      <w:r>
        <w:rPr>
          <w:rFonts w:ascii="Times New Roman" w:cs="Times New Roman" w:eastAsia="Times New Roman" w:hAnsi="Times New Roman"/>
          <w:sz w:val="16"/>
          <w:szCs w:val="16"/>
          <w:color w:val="auto"/>
        </w:rPr>
        <w:t>Refer to Note 12</w:t>
      </w:r>
      <w:r>
        <w:rPr>
          <w:rFonts w:ascii="Times New Roman" w:cs="Times New Roman" w:eastAsia="Times New Roman" w:hAnsi="Times New Roman"/>
          <w:sz w:val="16"/>
          <w:szCs w:val="16"/>
          <w:i w:val="1"/>
          <w:iCs w:val="1"/>
          <w:color w:val="auto"/>
        </w:rPr>
        <w:t>, Segment Information,</w:t>
      </w:r>
      <w:r>
        <w:rPr>
          <w:rFonts w:ascii="Times New Roman" w:cs="Times New Roman" w:eastAsia="Times New Roman" w:hAnsi="Times New Roman"/>
          <w:sz w:val="16"/>
          <w:szCs w:val="16"/>
          <w:color w:val="auto"/>
        </w:rPr>
        <w:t xml:space="preserve"> for disaggregation of revenue by segment. Revenue for the LEU segment is derived from the sales of the SWU component of LEU, from sales of both the SWU and uranium components, and from sales of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and 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6"/>
          <w:szCs w:val="16"/>
          <w:color w:val="auto"/>
        </w:rPr>
        <w:t>, to electric utility customers and other nuclear fuel related companies. Technical Solutions’ revenue is derived from advanced manufacturing and other technical services provided to the U.S. government and private sector customers. SWU and uranium revenue is recognized when the customer obtains control of the SWU or uranium components. Technical Solutions’ revenue is generally recognized over the contractual period as services are rendered.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13"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1"/>
        </w:trPr>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60" w:type="dxa"/>
            <w:vAlign w:val="bottom"/>
          </w:tcPr>
          <w:p>
            <w:pPr>
              <w:spacing w:after="0"/>
              <w:rPr>
                <w:sz w:val="14"/>
                <w:szCs w:val="14"/>
                <w:color w:val="auto"/>
              </w:rPr>
            </w:pPr>
          </w:p>
        </w:tc>
      </w:tr>
      <w:tr>
        <w:trPr>
          <w:trHeight w:val="180"/>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7"/>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Billed</w:t>
            </w:r>
          </w:p>
        </w:tc>
        <w:tc>
          <w:tcPr>
            <w:tcW w:w="142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r>
      <w:tr>
        <w:trPr>
          <w:trHeight w:val="177"/>
        </w:trPr>
        <w:tc>
          <w:tcPr>
            <w:tcW w:w="4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Unbilled *</w:t>
            </w:r>
          </w:p>
        </w:tc>
        <w:tc>
          <w:tcPr>
            <w:tcW w:w="1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99"/>
        </w:trPr>
        <w:tc>
          <w:tcPr>
            <w:tcW w:w="40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142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31.3</w:t>
            </w: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1660" w:right="1600" w:hanging="7"/>
        <w:spacing w:after="0" w:line="252" w:lineRule="auto"/>
        <w:tabs>
          <w:tab w:leader="none" w:pos="17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the customer and approved. Unbilled revenue also includes unconditional rights to payment that are not yet billable under applicable contracts due to timing of invoice processing or pending the compilation of supporting documentation.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changes in contract liability balances (in millions):</w:t>
      </w:r>
    </w:p>
    <w:p>
      <w:pPr>
        <w:spacing w:after="0" w:line="89"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9"/>
              </w:rPr>
              <w:t>Year-To-Date Change</w:t>
            </w:r>
          </w:p>
        </w:tc>
        <w:tc>
          <w:tcPr>
            <w:tcW w:w="0" w:type="dxa"/>
            <w:vAlign w:val="bottom"/>
          </w:tcPr>
          <w:p>
            <w:pPr>
              <w:spacing w:after="0"/>
              <w:rPr>
                <w:sz w:val="1"/>
                <w:szCs w:val="1"/>
                <w:color w:val="auto"/>
              </w:rPr>
            </w:pPr>
          </w:p>
        </w:tc>
      </w:tr>
      <w:tr>
        <w:trPr>
          <w:trHeight w:val="179"/>
        </w:trPr>
        <w:tc>
          <w:tcPr>
            <w:tcW w:w="43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 - current</w:t>
            </w:r>
          </w:p>
        </w:tc>
        <w:tc>
          <w:tcPr>
            <w:tcW w:w="102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74"/>
        </w:trPr>
        <w:tc>
          <w:tcPr>
            <w:tcW w:w="4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Advances from customers - current</w:t>
            </w:r>
          </w:p>
        </w:tc>
        <w:tc>
          <w:tcPr>
            <w:tcW w:w="1020" w:type="dxa"/>
            <w:vAlign w:val="bottom"/>
          </w:tcPr>
          <w:p>
            <w:pPr>
              <w:jc w:val="right"/>
              <w:ind w:right="89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95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right="660" w:firstLine="191"/>
        <w:spacing w:after="0" w:line="259" w:lineRule="auto"/>
        <w:rPr>
          <w:sz w:val="20"/>
          <w:szCs w:val="20"/>
          <w:color w:val="auto"/>
        </w:rPr>
      </w:pPr>
      <w:r>
        <w:rPr>
          <w:rFonts w:ascii="Times New Roman" w:cs="Times New Roman" w:eastAsia="Times New Roman" w:hAnsi="Times New Roman"/>
          <w:sz w:val="16"/>
          <w:szCs w:val="16"/>
          <w:color w:val="auto"/>
        </w:rPr>
        <w:t>Previously deferred sales and advances from customers recognized in revenue totaled $68.5 million and $64.7 million in the six months ended June 30, 2025 and 2024, respectively.</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LEU Segment</w:t>
      </w:r>
    </w:p>
    <w:p>
      <w:pPr>
        <w:spacing w:after="0" w:line="189" w:lineRule="exact"/>
        <w:rPr>
          <w:sz w:val="20"/>
          <w:szCs w:val="20"/>
          <w:color w:val="auto"/>
        </w:rPr>
      </w:pPr>
    </w:p>
    <w:p>
      <w:pPr>
        <w:jc w:val="both"/>
        <w:ind w:right="360" w:firstLine="191"/>
        <w:spacing w:after="0" w:line="254" w:lineRule="auto"/>
        <w:rPr>
          <w:sz w:val="20"/>
          <w:szCs w:val="20"/>
          <w:color w:val="auto"/>
        </w:rPr>
      </w:pPr>
      <w:r>
        <w:rPr>
          <w:rFonts w:ascii="Times New Roman" w:cs="Times New Roman" w:eastAsia="Times New Roman" w:hAnsi="Times New Roman"/>
          <w:sz w:val="16"/>
          <w:szCs w:val="16"/>
          <w:color w:val="auto"/>
        </w:rPr>
        <w:t xml:space="preserve">The SWU component of LEU typically is sold under contracts with deliveries over several years. The Company’s agreements for natural uranium hexafluoride and uranium concentrate sales generally are shorter-term, fixed-commitment contracts. </w:t>
      </w:r>
      <w:r>
        <w:rPr>
          <w:rFonts w:ascii="Times New Roman" w:cs="Times New Roman" w:eastAsia="Times New Roman" w:hAnsi="Times New Roman"/>
          <w:sz w:val="16"/>
          <w:szCs w:val="16"/>
          <w:color w:val="0D0D0D"/>
        </w:rPr>
        <w:t>Most of</w:t>
      </w:r>
      <w:r>
        <w:rPr>
          <w:rFonts w:ascii="Times New Roman" w:cs="Times New Roman" w:eastAsia="Times New Roman" w:hAnsi="Times New Roman"/>
          <w:sz w:val="16"/>
          <w:szCs w:val="16"/>
          <w:color w:val="auto"/>
        </w:rPr>
        <w:t xml:space="preserve"> the Company’s </w:t>
      </w:r>
      <w:r>
        <w:rPr>
          <w:rFonts w:ascii="Times New Roman" w:cs="Times New Roman" w:eastAsia="Times New Roman" w:hAnsi="Times New Roman"/>
          <w:sz w:val="16"/>
          <w:szCs w:val="16"/>
          <w:color w:val="0D0D0D"/>
        </w:rPr>
        <w:t>customer contracts provide for fixed purchases of SWU during a given year.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D0D0D"/>
        </w:rPr>
        <w:t>Depending on the terms of specific contracts, the customer may be able to increase or decrease the quantity delivered within an agreed range.</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Technical Solutions Segment</w:t>
      </w:r>
    </w:p>
    <w:p>
      <w:pPr>
        <w:spacing w:after="0" w:line="200" w:lineRule="exact"/>
        <w:rPr>
          <w:sz w:val="20"/>
          <w:szCs w:val="20"/>
          <w:color w:val="auto"/>
        </w:rPr>
      </w:pPr>
    </w:p>
    <w:p>
      <w:pPr>
        <w:ind w:right="380" w:firstLine="191"/>
        <w:spacing w:after="0" w:line="330" w:lineRule="auto"/>
        <w:rPr>
          <w:sz w:val="20"/>
          <w:szCs w:val="20"/>
          <w:color w:val="auto"/>
        </w:rPr>
      </w:pPr>
      <w:r>
        <w:rPr>
          <w:rFonts w:ascii="Times New Roman" w:cs="Times New Roman" w:eastAsia="Times New Roman" w:hAnsi="Times New Roman"/>
          <w:sz w:val="14"/>
          <w:szCs w:val="14"/>
          <w:color w:val="auto"/>
        </w:rPr>
        <w:t>Revenue for the Technical Solutions segment, representing the Company’s uranium enrichment, advanced manufacturing, and other technical services offered to public and private sector customers, is recognized over time as the performance obligation is satisfied or at the point in time in which each performance obligation is fully satisfied.</w:t>
      </w:r>
    </w:p>
    <w:p>
      <w:pPr>
        <w:spacing w:after="0" w:line="120" w:lineRule="exact"/>
        <w:rPr>
          <w:sz w:val="20"/>
          <w:szCs w:val="20"/>
          <w:color w:val="auto"/>
        </w:rPr>
      </w:pPr>
    </w:p>
    <w:p>
      <w:pPr>
        <w:ind w:right="40" w:firstLine="191"/>
        <w:spacing w:after="0" w:line="300" w:lineRule="auto"/>
        <w:rPr>
          <w:sz w:val="20"/>
          <w:szCs w:val="20"/>
          <w:color w:val="auto"/>
        </w:rPr>
      </w:pPr>
      <w:r>
        <w:rPr>
          <w:rFonts w:ascii="Times New Roman" w:cs="Times New Roman" w:eastAsia="Times New Roman" w:hAnsi="Times New Roman"/>
          <w:sz w:val="14"/>
          <w:szCs w:val="14"/>
          <w:color w:val="auto"/>
        </w:rPr>
        <w:t>The Company’s work on HALEU began under the HALEU Demonstration Contract, signed with the DOE in 2019, to construct a cascade of 16 centrifuges to demonstrate production of HALEU for advanced reactors. The DOE reimbursed the Company for 80% of its costs incurred in performing the contract. The DOE has funded the contract up to $173.0 million with a period of performance that ended November 30, 2022. The Company recorded revenue up to the funded amount of $173.0 million and has received aggregate cash payments under the HALEU Demonstration Contract of $171.2 million through June 30, 2025. Closeout activities on the HALEU Demonstration Contract are ongoing.</w:t>
      </w:r>
    </w:p>
    <w:p>
      <w:pPr>
        <w:spacing w:after="0" w:line="129" w:lineRule="exact"/>
        <w:rPr>
          <w:sz w:val="20"/>
          <w:szCs w:val="20"/>
          <w:color w:val="auto"/>
        </w:rPr>
      </w:pPr>
    </w:p>
    <w:p>
      <w:pPr>
        <w:ind w:firstLine="191"/>
        <w:spacing w:after="0" w:line="234" w:lineRule="auto"/>
        <w:rPr>
          <w:sz w:val="20"/>
          <w:szCs w:val="20"/>
          <w:color w:val="auto"/>
        </w:rPr>
      </w:pPr>
      <w:r>
        <w:rPr>
          <w:rFonts w:ascii="Times New Roman" w:cs="Times New Roman" w:eastAsia="Times New Roman" w:hAnsi="Times New Roman"/>
          <w:sz w:val="16"/>
          <w:szCs w:val="16"/>
          <w:color w:val="auto"/>
        </w:rPr>
        <w:t>On November 10, 2022, the DOE awarded the HALEU Operation Contract to the Company with a base contract value of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no later than December 31, 2023. On November 7, 2023, the Company announced that it made its first contractual delivery of HALEU to the DOE, completing Phase 1 by successfully demonstrating its HALEU production process.</w:t>
      </w:r>
    </w:p>
    <w:p>
      <w:pPr>
        <w:spacing w:after="0" w:line="124" w:lineRule="exact"/>
        <w:rPr>
          <w:sz w:val="20"/>
          <w:szCs w:val="20"/>
          <w:color w:val="auto"/>
        </w:rPr>
      </w:pPr>
    </w:p>
    <w:p>
      <w:pPr>
        <w:ind w:right="60" w:firstLine="191"/>
        <w:spacing w:after="0" w:line="250" w:lineRule="auto"/>
        <w:rPr>
          <w:sz w:val="20"/>
          <w:szCs w:val="20"/>
          <w:color w:val="auto"/>
        </w:rPr>
      </w:pPr>
      <w:r>
        <w:rPr>
          <w:rFonts w:ascii="Times New Roman" w:cs="Times New Roman" w:eastAsia="Times New Roman" w:hAnsi="Times New Roman"/>
          <w:sz w:val="16"/>
          <w:szCs w:val="16"/>
          <w:color w:val="auto"/>
        </w:rPr>
        <w:t>During November 2023, the Company transitioned to Phase 2 of the HALEU Operation Contract, which included production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per year, as well as continued operations and maintenance. Phase 2 had an initial contract value of approximately $90.0 million and the Company is being compensated on a cost-plus-incentive-fee-basis. The DOE owns the HALEU produced from the demonstration cascade. 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16" w:name="page17"/>
    <w:bookmarkEnd w:id="16"/>
    <w:p>
      <w:pPr>
        <w:ind w:right="40" w:firstLine="191"/>
        <w:spacing w:after="0" w:line="239" w:lineRule="auto"/>
        <w:rPr>
          <w:sz w:val="20"/>
          <w:szCs w:val="20"/>
          <w:color w:val="auto"/>
        </w:rPr>
      </w:pPr>
      <w:r>
        <w:rPr>
          <w:rFonts w:ascii="Times New Roman" w:cs="Times New Roman" w:eastAsia="Times New Roman" w:hAnsi="Times New Roman"/>
          <w:sz w:val="16"/>
          <w:szCs w:val="16"/>
          <w:color w:val="auto"/>
        </w:rPr>
        <w:t>Under the HALEU Operation Contract, DOE is contractually obligated to provide the 5B Cylinders necessary to collect the output of the cascade, but supply chain challenges had created difficulties for DOE in securing enough 5B Cylinders for the entire production year under Phase 2. During time periods when 5B Cylinders were insufficient, the Company was able to continue operations of the cascade, but did not produce HALEU as it did not have 5B Cylinders to store the enriched uranium. Due to these delays, Centrus was unable to achieve contractual delivery of the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the date set for the end of Phase 2 performance. Centrus’ contractual delivery obligation of 900 kilograms by November 2024, was conditioned on DOE’s ability to provide the 5B Cylinders on a timeline that allowed for continuous production throughout Phase 2 of the contract. In light of the delays, on November 5, 2024, the HALEU Operation Contract was modified to extend the Phase 2 period of performance to June 30, 2025. On June 25, 2025, the Company announced that it had produced and contractually delivered to the DOE 900 kilograms of HALEU under the HALEU Operation Contract, thereby achieving the Phase 2 production target. As of June 30, 2025, the total Phase 2 contract value and funded value is $169.1 million. The fee for the Phase 2 period of performance that was extended beyond November 30, 2024 was not definitized and is subject to negotiation.</w:t>
      </w:r>
    </w:p>
    <w:p>
      <w:pPr>
        <w:spacing w:after="0" w:line="173"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June 17, 2025, the DOE issued an amendment to the HALEU Operation Contract that split the first three-year option period into a first option period of one year (“Option 1a”) and a second option period of two years (“Option 1b”). The amendment establishes a target cost and fee for Option 1a of approximately $99.3 million and $8.7 million, respectively, and a target cost and fee for Option 1b of $163.5 million and $15.2 million, respectively. Additionally, the Amendment acknowledges that the estimated cost associated with Option 1b is insufficient to support full performance due to known cost increases since award of the HALEU Operation Contract, and indicates that the Company will need to submit a revised cost proposal for review and negotiation prior to DOE’s consideration of Option 1b. In conjunction with the amendment, the DOE exercised Option 1a and extended the period of performance to June 30, 2026. As of June 30, 2025, Option 1a is funded for the contract value of $108.0 million.</w:t>
      </w:r>
    </w:p>
    <w:p>
      <w:pPr>
        <w:spacing w:after="0" w:line="175"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In accordance with the HALEU Operation Contract, the Company submitted several change order requests for work being performed on infrastructure, facility repairs, and 5B Cylinders. The additional work is being performed under the DOE Contracting Officer’s approval or contract modifications. On September 28, 2023, the DOE modified the HALEU Operation Contract to incorporate additional scope for infrastructure and facility repairs, and costs associated with 5B Cylinder refurbishment, for an estimated additional contract value of $5.8 million, without a cost-share provision. DOE is now obligated for costs up to the contract value of $8.5 million for the additional scope work.</w:t>
      </w:r>
    </w:p>
    <w:p>
      <w:pPr>
        <w:spacing w:after="0" w:line="159" w:lineRule="exact"/>
        <w:rPr>
          <w:sz w:val="20"/>
          <w:szCs w:val="20"/>
          <w:color w:val="auto"/>
        </w:rPr>
      </w:pPr>
    </w:p>
    <w:p>
      <w:pPr>
        <w:ind w:right="160" w:firstLine="191"/>
        <w:spacing w:after="0" w:line="253" w:lineRule="auto"/>
        <w:rPr>
          <w:sz w:val="20"/>
          <w:szCs w:val="20"/>
          <w:color w:val="auto"/>
        </w:rPr>
      </w:pPr>
      <w:r>
        <w:rPr>
          <w:rFonts w:ascii="Times New Roman" w:cs="Times New Roman" w:eastAsia="Times New Roman" w:hAnsi="Times New Roman"/>
          <w:sz w:val="16"/>
          <w:szCs w:val="16"/>
          <w:color w:val="auto"/>
        </w:rPr>
        <w:t xml:space="preserve">Costs under the HALEU Operation Contract include program costs, including direct labor and materials and associated indirect costs that are classified as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and an allocation of corporate costs supporting the program that are classified as </w:t>
      </w:r>
      <w:r>
        <w:rPr>
          <w:rFonts w:ascii="Times New Roman" w:cs="Times New Roman" w:eastAsia="Times New Roman" w:hAnsi="Times New Roman"/>
          <w:sz w:val="16"/>
          <w:szCs w:val="16"/>
          <w:i w:val="1"/>
          <w:iCs w:val="1"/>
          <w:color w:val="auto"/>
        </w:rPr>
        <w:t>Selling, General and Administrative Expenses</w:t>
      </w:r>
      <w:r>
        <w:rPr>
          <w:rFonts w:ascii="Times New Roman" w:cs="Times New Roman" w:eastAsia="Times New Roman" w:hAnsi="Times New Roman"/>
          <w:sz w:val="16"/>
          <w:szCs w:val="16"/>
          <w:color w:val="auto"/>
        </w:rPr>
        <w:t>. The HALEU Operation Contract is funded incrementally, and the DOE is obligated for costs up to approximately $314.6 million of the $315.0 million estimated transaction price for Phase 1, Phase 2, Option 1a of Phase 3, and the additional scope work. The Company has received aggregate cash payments under the HALEU Operation Contract of $174.7 million through June 30, 2025.</w:t>
      </w:r>
    </w:p>
    <w:p>
      <w:pPr>
        <w:spacing w:after="0" w:line="170" w:lineRule="exact"/>
        <w:rPr>
          <w:sz w:val="20"/>
          <w:szCs w:val="20"/>
          <w:color w:val="auto"/>
        </w:rPr>
      </w:pPr>
    </w:p>
    <w:p>
      <w:pPr>
        <w:ind w:right="180" w:firstLine="191"/>
        <w:spacing w:after="0" w:line="330" w:lineRule="auto"/>
        <w:rPr>
          <w:sz w:val="20"/>
          <w:szCs w:val="20"/>
          <w:color w:val="auto"/>
        </w:rPr>
      </w:pPr>
      <w:r>
        <w:rPr>
          <w:rFonts w:ascii="Times New Roman" w:cs="Times New Roman" w:eastAsia="Times New Roman" w:hAnsi="Times New Roman"/>
          <w:sz w:val="14"/>
          <w:szCs w:val="14"/>
          <w:color w:val="auto"/>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Remaining Performance Obligations</w:t>
      </w:r>
    </w:p>
    <w:p>
      <w:pPr>
        <w:spacing w:after="0" w:line="189" w:lineRule="exact"/>
        <w:rPr>
          <w:sz w:val="20"/>
          <w:szCs w:val="20"/>
          <w:color w:val="auto"/>
        </w:rPr>
      </w:pPr>
    </w:p>
    <w:p>
      <w:pPr>
        <w:ind w:right="120" w:firstLine="191"/>
        <w:spacing w:after="0" w:line="261" w:lineRule="auto"/>
        <w:rPr>
          <w:sz w:val="20"/>
          <w:szCs w:val="20"/>
          <w:color w:val="auto"/>
        </w:rPr>
      </w:pPr>
      <w:r>
        <w:rPr>
          <w:rFonts w:ascii="Times New Roman" w:cs="Times New Roman" w:eastAsia="Times New Roman" w:hAnsi="Times New Roman"/>
          <w:sz w:val="16"/>
          <w:szCs w:val="16"/>
          <w:color w:val="auto"/>
        </w:rPr>
        <w:t>The Company’s remaining performance obligations represent the aggregate amount of total contract transaction price that is unsatisfied or partially unsatisfied. Performance obligations are recognized as revenue in future periods as work is performed or deliveries of SWU and uranium are made. The Company’s total remaining performance obligations were $0.7 billion and $0.8 billion as of June 30, 2025, and December 31, 2024, respectively, and extend to 2030.</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7" w:name="page18"/>
    <w:bookmarkEnd w:id="17"/>
    <w:p>
      <w:pPr>
        <w:ind w:right="40" w:firstLine="191"/>
        <w:spacing w:after="0" w:line="289" w:lineRule="auto"/>
        <w:rPr>
          <w:sz w:val="20"/>
          <w:szCs w:val="20"/>
          <w:color w:val="auto"/>
        </w:rPr>
      </w:pPr>
      <w:r>
        <w:rPr>
          <w:rFonts w:ascii="Times New Roman" w:cs="Times New Roman" w:eastAsia="Times New Roman" w:hAnsi="Times New Roman"/>
          <w:sz w:val="14"/>
          <w:szCs w:val="14"/>
          <w:color w:val="auto"/>
        </w:rPr>
        <w:t xml:space="preserve">The remaining performance obligations in the LEU segment primarily related to medium and long-term contracts with fixed commitments, were approximately $0.6 billion and $0.7 billion at June 30, 2025 and December 31, 2024, respectively, and extend to 2030. The remaining performance obligations represent the estimated aggregate dollar amount of revenue for future SWU and uranium deliveries and include approximately $154.8 million and $216.4 million of </w:t>
      </w:r>
      <w:r>
        <w:rPr>
          <w:rFonts w:ascii="Times New Roman" w:cs="Times New Roman" w:eastAsia="Times New Roman" w:hAnsi="Times New Roman"/>
          <w:sz w:val="14"/>
          <w:szCs w:val="14"/>
          <w:i w:val="1"/>
          <w:iCs w:val="1"/>
          <w:color w:val="auto"/>
        </w:rPr>
        <w:t>Deferred Revenue and Advances from Customers</w:t>
      </w:r>
      <w:r>
        <w:rPr>
          <w:rFonts w:ascii="Times New Roman" w:cs="Times New Roman" w:eastAsia="Times New Roman" w:hAnsi="Times New Roman"/>
          <w:sz w:val="14"/>
          <w:szCs w:val="14"/>
          <w:color w:val="auto"/>
        </w:rPr>
        <w:t xml:space="preserve"> at June 30, 2025, and December 31, 2024, respectively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D0D0D"/>
        </w:rPr>
        <w:t>T</w:t>
      </w:r>
      <w:r>
        <w:rPr>
          <w:rFonts w:ascii="Times New Roman" w:cs="Times New Roman" w:eastAsia="Times New Roman" w:hAnsi="Times New Roman"/>
          <w:sz w:val="14"/>
          <w:szCs w:val="14"/>
          <w:color w:val="auto"/>
        </w:rPr>
        <w:t xml:space="preserve">he </w:t>
      </w:r>
      <w:r>
        <w:rPr>
          <w:rFonts w:ascii="Times New Roman" w:cs="Times New Roman" w:eastAsia="Times New Roman" w:hAnsi="Times New Roman"/>
          <w:sz w:val="14"/>
          <w:szCs w:val="14"/>
          <w:color w:val="0D0D0D"/>
        </w:rPr>
        <w:t>remaining performance obligations are partially based on customer estimates of the timing and size of the customers’ fuel requirements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D0D0D"/>
        </w:rPr>
        <w:t>and other assumptions that are subject to change. T</w:t>
      </w:r>
      <w:r>
        <w:rPr>
          <w:rFonts w:ascii="Times New Roman" w:cs="Times New Roman" w:eastAsia="Times New Roman" w:hAnsi="Times New Roman"/>
          <w:sz w:val="14"/>
          <w:szCs w:val="14"/>
          <w:color w:val="000000"/>
        </w:rPr>
        <w:t>he</w:t>
      </w:r>
      <w:r>
        <w:rPr>
          <w:rFonts w:ascii="Times New Roman" w:cs="Times New Roman" w:eastAsia="Times New Roman" w:hAnsi="Times New Roman"/>
          <w:sz w:val="14"/>
          <w:szCs w:val="14"/>
          <w:color w:val="0D0D0D"/>
        </w:rPr>
        <w:t xml:space="preserve"> 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w:t>
      </w:r>
      <w:r>
        <w:rPr>
          <w:rFonts w:ascii="Times New Roman" w:cs="Times New Roman" w:eastAsia="Times New Roman" w:hAnsi="Times New Roman"/>
          <w:sz w:val="14"/>
          <w:szCs w:val="14"/>
          <w:color w:val="000000"/>
        </w:rPr>
        <w:t>he Company</w:t>
      </w:r>
      <w:r>
        <w:rPr>
          <w:rFonts w:ascii="Times New Roman" w:cs="Times New Roman" w:eastAsia="Times New Roman" w:hAnsi="Times New Roman"/>
          <w:sz w:val="14"/>
          <w:szCs w:val="14"/>
          <w:color w:val="0D0D0D"/>
        </w:rPr>
        <w:t xml:space="preserve"> uses external composite forecasts of future market prices and inflation rates in its pricing estimates.</w:t>
      </w:r>
    </w:p>
    <w:p>
      <w:pPr>
        <w:spacing w:after="0" w:line="139"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The remaining performance obligations in the Technical Solutions segment were approximately $134.8 million and $28.0 million, as of June 30, 2025, and December 31, 2024, respectively, and extend through 2026.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CASH, CASH EQUIVALENTS AND RESTRICTED CASH</w:t>
      </w:r>
    </w:p>
    <w:p>
      <w:pPr>
        <w:spacing w:after="0" w:line="200" w:lineRule="exact"/>
        <w:rPr>
          <w:sz w:val="20"/>
          <w:szCs w:val="20"/>
          <w:color w:val="auto"/>
        </w:rPr>
      </w:pPr>
    </w:p>
    <w:p>
      <w:pPr>
        <w:ind w:right="360" w:firstLine="191"/>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cash, cash equivalents and restricted cash as presented on the Consolidated Balance Sheets to amounts on the Consolidated Statements of Cash Flows (in millions):</w:t>
      </w:r>
    </w:p>
    <w:p>
      <w:pPr>
        <w:spacing w:after="0" w:line="78"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54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8"/>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380" w:type="dxa"/>
            <w:vAlign w:val="bottom"/>
            <w:shd w:val="clear" w:color="auto" w:fill="CCEEFF"/>
          </w:tcPr>
          <w:p>
            <w:pPr>
              <w:jc w:val="right"/>
              <w:ind w:right="123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671.4</w:t>
            </w:r>
          </w:p>
        </w:tc>
      </w:tr>
      <w:tr>
        <w:trPr>
          <w:trHeight w:val="177"/>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Deposits for financial assurance - current (a)</w:t>
            </w:r>
          </w:p>
        </w:tc>
        <w:tc>
          <w:tcPr>
            <w:tcW w:w="13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84"/>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Deposits for financial assurance - noncurrent</w:t>
            </w:r>
          </w:p>
        </w:tc>
        <w:tc>
          <w:tcPr>
            <w:tcW w:w="13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0"/>
        </w:trPr>
        <w:tc>
          <w:tcPr>
            <w:tcW w:w="54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w:t>
            </w:r>
          </w:p>
        </w:tc>
        <w:tc>
          <w:tcPr>
            <w:tcW w:w="138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847.0</w:t>
            </w:r>
          </w:p>
        </w:tc>
        <w:tc>
          <w:tcPr>
            <w:tcW w:w="220" w:type="dxa"/>
            <w:vAlign w:val="bottom"/>
          </w:tcPr>
          <w:p>
            <w:pPr>
              <w:spacing w:after="0"/>
              <w:rPr>
                <w:sz w:val="14"/>
                <w:szCs w:val="14"/>
                <w:color w:val="auto"/>
              </w:rPr>
            </w:pPr>
          </w:p>
        </w:tc>
        <w:tc>
          <w:tcPr>
            <w:tcW w:w="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704.0</w:t>
            </w:r>
          </w:p>
        </w:tc>
      </w:tr>
      <w:tr>
        <w:trPr>
          <w:trHeight w:val="20"/>
        </w:trPr>
        <w:tc>
          <w:tcPr>
            <w:tcW w:w="5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(a) Deposits for financial assurance - current is included within </w:t>
      </w:r>
      <w:r>
        <w:rPr>
          <w:rFonts w:ascii="Times New Roman" w:cs="Times New Roman" w:eastAsia="Times New Roman" w:hAnsi="Times New Roman"/>
          <w:sz w:val="14"/>
          <w:szCs w:val="14"/>
          <w:i w:val="1"/>
          <w:iCs w:val="1"/>
          <w:color w:val="auto"/>
        </w:rPr>
        <w:t>Other Current Assets</w:t>
      </w:r>
      <w:r>
        <w:rPr>
          <w:rFonts w:ascii="Times New Roman" w:cs="Times New Roman" w:eastAsia="Times New Roman" w:hAnsi="Times New Roman"/>
          <w:sz w:val="14"/>
          <w:szCs w:val="14"/>
          <w:color w:val="auto"/>
        </w:rPr>
        <w:t xml:space="preserve"> in the Consolidated Balance Sheets.</w:t>
      </w:r>
    </w:p>
    <w:p>
      <w:pPr>
        <w:spacing w:after="0" w:line="198" w:lineRule="exact"/>
        <w:rPr>
          <w:sz w:val="20"/>
          <w:szCs w:val="20"/>
          <w:color w:val="auto"/>
        </w:rPr>
      </w:pPr>
    </w:p>
    <w:p>
      <w:pPr>
        <w:ind w:right="180" w:firstLine="191"/>
        <w:spacing w:after="0" w:line="254" w:lineRule="auto"/>
        <w:rPr>
          <w:sz w:val="20"/>
          <w:szCs w:val="20"/>
          <w:color w:val="auto"/>
        </w:rPr>
      </w:pPr>
      <w:r>
        <w:rPr>
          <w:rFonts w:ascii="Times New Roman" w:cs="Times New Roman" w:eastAsia="Times New Roman" w:hAnsi="Times New Roman"/>
          <w:sz w:val="16"/>
          <w:szCs w:val="16"/>
          <w:color w:val="auto"/>
        </w:rPr>
        <w:t>The Company has $0.2 million and $0.5 million denominated in euros as of June 30, 2025 and December 31, 2024, respectively, and recorded $0.1 million and $0.2 million in transaction losses in the three and six months ended June 30, 2025, respectively, and $0 and $0.1 million in transaction losses in the three and six months ended June 30, 2024, respectively.</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provides additional detail regarding the Company’s deposits for financial assurance (in millions):</w:t>
      </w:r>
    </w:p>
    <w:p>
      <w:pPr>
        <w:spacing w:after="0" w:line="3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1"/>
        </w:trPr>
        <w:tc>
          <w:tcPr>
            <w:tcW w:w="40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w w:val="99"/>
              </w:rPr>
              <w:t>Long-Term</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Pr>
          <w:p>
            <w:pPr>
              <w:spacing w:after="0"/>
              <w:rPr>
                <w:sz w:val="14"/>
                <w:szCs w:val="14"/>
                <w:color w:val="auto"/>
              </w:rPr>
            </w:pP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Long-Term</w:t>
            </w:r>
          </w:p>
        </w:tc>
      </w:tr>
      <w:tr>
        <w:trPr>
          <w:trHeight w:val="180"/>
        </w:trPr>
        <w:tc>
          <w:tcPr>
            <w:tcW w:w="4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Collateral for Inventory Loans</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2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Workers Compensation</w:t>
            </w:r>
          </w:p>
        </w:tc>
        <w:tc>
          <w:tcPr>
            <w:tcW w:w="8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7"/>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98"/>
        </w:trPr>
        <w:tc>
          <w:tcPr>
            <w:tcW w:w="4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deposits for financial assurance</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30.0</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48" w:right="359" w:bottom="1440" w:gutter="0" w:footer="0" w:header="0"/>
        </w:sectPr>
      </w:pPr>
    </w:p>
    <w:bookmarkStart w:id="18" w:name="page19"/>
    <w:bookmarkEnd w:id="18"/>
    <w:p>
      <w:pPr>
        <w:ind w:firstLine="191"/>
        <w:spacing w:after="0" w:line="248" w:lineRule="auto"/>
        <w:rPr>
          <w:sz w:val="20"/>
          <w:szCs w:val="20"/>
          <w:color w:val="auto"/>
        </w:rPr>
      </w:pPr>
      <w:r>
        <w:rPr>
          <w:rFonts w:ascii="Times New Roman" w:cs="Times New Roman" w:eastAsia="Times New Roman" w:hAnsi="Times New Roman"/>
          <w:sz w:val="16"/>
          <w:szCs w:val="16"/>
          <w:color w:val="auto"/>
        </w:rPr>
        <w:t>In 2022, the Company entered into three inventory loans that each required a cash deposit into an escrow fund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 March 2025, the Company repaid two of the three inventory loans. In May 2025, the Company received $18.6 million of restricted cash which was released from escrow. In June 2025, the Company repaid the last of the three inventory loans and, in July 2025, received $11.2 million of restricted cash which was released from escrow (see Note 4</w:t>
      </w:r>
      <w:r>
        <w:rPr>
          <w:rFonts w:ascii="Times New Roman" w:cs="Times New Roman" w:eastAsia="Times New Roman" w:hAnsi="Times New Roman"/>
          <w:sz w:val="16"/>
          <w:szCs w:val="16"/>
          <w:i w:val="1"/>
          <w:iCs w:val="1"/>
          <w:color w:val="auto"/>
        </w:rPr>
        <w:t>, Inventories).</w:t>
      </w:r>
      <w:r>
        <w:rPr>
          <w:rFonts w:ascii="Times New Roman" w:cs="Times New Roman" w:eastAsia="Times New Roman" w:hAnsi="Times New Roman"/>
          <w:sz w:val="16"/>
          <w:szCs w:val="16"/>
          <w:color w:val="auto"/>
        </w:rPr>
        <w:t xml:space="preserve"> The Company has provided financial assurance to states in which it was previously self-insured for workers’ compensation in accordance with each state’s requirements in the form of a surety bond or deposit that is fully cash collateralized by the Company. Each surety bond or deposit is subject to reduction and/or cancellation, as each state determines the likely reduction of workers’ compensation obligations pertaining to the period of self-insurance.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INVENTORIES</w:t>
      </w:r>
    </w:p>
    <w:p>
      <w:pPr>
        <w:spacing w:after="0" w:line="189"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for use in nuclear reactors. The components of the Company’s inventories are as follows (in millions):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40" w:type="dxa"/>
            <w:vAlign w:val="bottom"/>
          </w:tcPr>
          <w:p>
            <w:pPr>
              <w:spacing w:after="0"/>
              <w:rPr>
                <w:sz w:val="10"/>
                <w:szCs w:val="10"/>
                <w:color w:val="auto"/>
              </w:rPr>
            </w:pPr>
          </w:p>
        </w:tc>
        <w:tc>
          <w:tcPr>
            <w:tcW w:w="10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0" w:type="dxa"/>
            <w:vAlign w:val="bottom"/>
          </w:tcPr>
          <w:p>
            <w:pPr>
              <w:spacing w:after="0"/>
              <w:rPr>
                <w:sz w:val="10"/>
                <w:szCs w:val="10"/>
                <w:color w:val="auto"/>
              </w:rPr>
            </w:pPr>
          </w:p>
        </w:tc>
        <w:tc>
          <w:tcPr>
            <w:tcW w:w="116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1"/>
                <w:szCs w:val="11"/>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Inventories, Net</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1"/>
                <w:szCs w:val="11"/>
                <w:color w:val="auto"/>
              </w:rPr>
            </w:pPr>
          </w:p>
        </w:tc>
        <w:tc>
          <w:tcPr>
            <w:tcW w:w="11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Inventories, Net</w:t>
            </w:r>
          </w:p>
        </w:tc>
        <w:tc>
          <w:tcPr>
            <w:tcW w:w="0" w:type="dxa"/>
            <w:vAlign w:val="bottom"/>
          </w:tcPr>
          <w:p>
            <w:pPr>
              <w:spacing w:after="0"/>
              <w:rPr>
                <w:sz w:val="1"/>
                <w:szCs w:val="1"/>
                <w:color w:val="auto"/>
              </w:rPr>
            </w:pPr>
          </w:p>
        </w:tc>
      </w:tr>
      <w:tr>
        <w:trPr>
          <w:trHeight w:val="179"/>
        </w:trPr>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Separative work units</w:t>
            </w: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7"/>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Uranium</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0" w:type="dxa"/>
            <w:vAlign w:val="bottom"/>
          </w:tcPr>
          <w:p>
            <w:pPr>
              <w:spacing w:after="0"/>
              <w:rPr>
                <w:sz w:val="1"/>
                <w:szCs w:val="1"/>
                <w:color w:val="auto"/>
              </w:rPr>
            </w:pPr>
          </w:p>
        </w:tc>
      </w:tr>
      <w:tr>
        <w:trPr>
          <w:trHeight w:val="199"/>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127.4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193.1</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This includes inventories owed to suppliers for advances of uranium.</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Inventories are valued at the lower of cost or net realizable value.</w:t>
      </w:r>
    </w:p>
    <w:p>
      <w:pPr>
        <w:spacing w:after="0" w:line="198" w:lineRule="exact"/>
        <w:rPr>
          <w:sz w:val="20"/>
          <w:szCs w:val="20"/>
          <w:color w:val="auto"/>
        </w:rPr>
      </w:pPr>
    </w:p>
    <w:p>
      <w:pPr>
        <w:ind w:right="80" w:firstLine="191"/>
        <w:spacing w:after="0" w:line="259" w:lineRule="auto"/>
        <w:rPr>
          <w:sz w:val="20"/>
          <w:szCs w:val="20"/>
          <w:color w:val="auto"/>
        </w:rPr>
      </w:pPr>
      <w:r>
        <w:rPr>
          <w:rFonts w:ascii="Times New Roman" w:cs="Times New Roman" w:eastAsia="Times New Roman" w:hAnsi="Times New Roman"/>
          <w:sz w:val="16"/>
          <w:szCs w:val="16"/>
          <w:color w:val="auto"/>
        </w:rPr>
        <w:t>The Company may borrow SWU or uranium from customers, suppliers or fabricators, in which case the Company will record the SWU and/or uranium and the related liability for the borrowing using projected and forecasted purchase price over the borrowing period.</w:t>
      </w:r>
    </w:p>
    <w:p>
      <w:pPr>
        <w:spacing w:after="0" w:line="165"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5"/>
          <w:szCs w:val="15"/>
          <w:color w:val="auto"/>
        </w:rPr>
        <w:t>In the three and six months ended June 30, 2025, the Company repaid SWU inventory loans borrowed from a customer valued at $12.3 million and $38.8 million, respectively, by utilizing advances of SWU from the fabricator under an existing optimization agreement. In June 2025, the Company also repaid its UF</w:t>
      </w:r>
      <w:r>
        <w:rPr>
          <w:rFonts w:ascii="Times New Roman" w:cs="Times New Roman" w:eastAsia="Times New Roman" w:hAnsi="Times New Roman"/>
          <w:sz w:val="19"/>
          <w:szCs w:val="19"/>
          <w:color w:val="auto"/>
          <w:vertAlign w:val="subscript"/>
        </w:rPr>
        <w:t>6</w:t>
      </w:r>
      <w:r>
        <w:rPr>
          <w:rFonts w:ascii="Times New Roman" w:cs="Times New Roman" w:eastAsia="Times New Roman" w:hAnsi="Times New Roman"/>
          <w:sz w:val="15"/>
          <w:szCs w:val="15"/>
          <w:color w:val="auto"/>
        </w:rPr>
        <w:t xml:space="preserve"> inventory loan valued at $29.8 million.</w:t>
      </w:r>
    </w:p>
    <w:p>
      <w:pPr>
        <w:spacing w:after="0" w:line="156" w:lineRule="exact"/>
        <w:rPr>
          <w:sz w:val="20"/>
          <w:szCs w:val="20"/>
          <w:color w:val="auto"/>
        </w:rPr>
      </w:pPr>
    </w:p>
    <w:p>
      <w:pPr>
        <w:ind w:right="100" w:firstLine="191"/>
        <w:spacing w:after="0" w:line="255" w:lineRule="auto"/>
        <w:rPr>
          <w:sz w:val="20"/>
          <w:szCs w:val="20"/>
          <w:color w:val="auto"/>
        </w:rPr>
      </w:pPr>
      <w:r>
        <w:rPr>
          <w:rFonts w:ascii="Times New Roman" w:cs="Times New Roman" w:eastAsia="Times New Roman" w:hAnsi="Times New Roman"/>
          <w:sz w:val="16"/>
          <w:szCs w:val="16"/>
          <w:color w:val="auto"/>
        </w:rPr>
        <w:t xml:space="preserve">The Company performs quarterly revaluations of </w:t>
      </w:r>
      <w:r>
        <w:rPr>
          <w:rFonts w:ascii="Times New Roman" w:cs="Times New Roman" w:eastAsia="Times New Roman" w:hAnsi="Times New Roman"/>
          <w:sz w:val="16"/>
          <w:szCs w:val="16"/>
          <w:i w:val="1"/>
          <w:iCs w:val="1"/>
          <w:color w:val="auto"/>
        </w:rPr>
        <w:t>Long-Term Inventory Loans</w:t>
      </w:r>
      <w:r>
        <w:rPr>
          <w:rFonts w:ascii="Times New Roman" w:cs="Times New Roman" w:eastAsia="Times New Roman" w:hAnsi="Times New Roman"/>
          <w:sz w:val="16"/>
          <w:szCs w:val="16"/>
          <w:color w:val="auto"/>
        </w:rPr>
        <w:t xml:space="preserve"> reflecting an updated projection of the timing and sources of inventory to be used for repayment. These revaluations were recorded to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and resulted in an increase to the related liability of $1.5 million and $3.6 million, for the three and six months ended June 30, 2025, respectively, and $1.5 million and $1.8 million for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55"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color w:val="auto"/>
        </w:rPr>
        <w:t>5. INTANGIBLE ASSETS</w:t>
      </w:r>
    </w:p>
    <w:p>
      <w:pPr>
        <w:spacing w:after="0" w:line="200" w:lineRule="exact"/>
        <w:rPr>
          <w:sz w:val="20"/>
          <w:szCs w:val="20"/>
          <w:color w:val="auto"/>
        </w:rPr>
      </w:pPr>
    </w:p>
    <w:p>
      <w:pPr>
        <w:jc w:val="both"/>
        <w:ind w:right="160" w:firstLine="191"/>
        <w:spacing w:after="0" w:line="283" w:lineRule="auto"/>
        <w:rPr>
          <w:sz w:val="20"/>
          <w:szCs w:val="20"/>
          <w:color w:val="auto"/>
        </w:rPr>
      </w:pPr>
      <w:r>
        <w:rPr>
          <w:rFonts w:ascii="Times New Roman" w:cs="Times New Roman" w:eastAsia="Times New Roman" w:hAnsi="Times New Roman"/>
          <w:sz w:val="14"/>
          <w:szCs w:val="14"/>
          <w:color w:val="auto"/>
        </w:rPr>
        <w:t>Intangible assets originated from the Company’s reorganization and application of fresh start accounting as of the date the Company emerged from bankruptcy, September 30, 2014, and reflect the conditions at that time. The intangible asset related to the LEU segment backlog is amortized as the backlog, existing at emergence, is reduced, as a result of deliveries to customers. The intangible asset related to customer relationships is amortized using the straight-line method over the estimated average useful life of 15 years.</w:t>
      </w:r>
    </w:p>
    <w:p>
      <w:pPr>
        <w:ind w:right="480"/>
        <w:spacing w:after="0" w:line="249" w:lineRule="auto"/>
        <w:rPr>
          <w:sz w:val="20"/>
          <w:szCs w:val="20"/>
          <w:color w:val="auto"/>
        </w:rPr>
      </w:pPr>
      <w:r>
        <w:rPr>
          <w:rFonts w:ascii="Times New Roman" w:cs="Times New Roman" w:eastAsia="Times New Roman" w:hAnsi="Times New Roman"/>
          <w:sz w:val="16"/>
          <w:szCs w:val="16"/>
          <w:color w:val="auto"/>
        </w:rPr>
        <w:t>Amortization expense is presented below gross profit on the Consolidated Statements of Operations and Comprehensive Income. Intangible asset balances are as follows (in millions):</w:t>
      </w:r>
    </w:p>
    <w:p>
      <w:pPr>
        <w:spacing w:after="0" w:line="75"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06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120" w:type="dxa"/>
            <w:vAlign w:val="bottom"/>
          </w:tcPr>
          <w:p>
            <w:pPr>
              <w:spacing w:after="0"/>
              <w:rPr>
                <w:sz w:val="10"/>
                <w:szCs w:val="10"/>
                <w:color w:val="auto"/>
              </w:rPr>
            </w:pPr>
          </w:p>
        </w:tc>
        <w:tc>
          <w:tcPr>
            <w:tcW w:w="120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06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Backlog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49.3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77"/>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49.4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98.7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24.8</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debt is as follows (in millions):</w:t>
      </w:r>
    </w:p>
    <w:p>
      <w:pPr>
        <w:spacing w:after="0" w:line="111"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20" w:type="dxa"/>
            <w:vAlign w:val="bottom"/>
          </w:tcPr>
          <w:p>
            <w:pPr>
              <w:spacing w:after="0"/>
              <w:rPr>
                <w:sz w:val="16"/>
                <w:szCs w:val="16"/>
                <w:color w:val="auto"/>
              </w:rPr>
            </w:pPr>
          </w:p>
        </w:tc>
        <w:tc>
          <w:tcPr>
            <w:tcW w:w="2400" w:type="dxa"/>
            <w:vAlign w:val="bottom"/>
            <w:gridSpan w:val="4"/>
          </w:tcPr>
          <w:p>
            <w:pPr>
              <w:jc w:val="right"/>
              <w:ind w:right="71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5"/>
        </w:trPr>
        <w:tc>
          <w:tcPr>
            <w:tcW w:w="2720" w:type="dxa"/>
            <w:vAlign w:val="bottom"/>
          </w:tcPr>
          <w:p>
            <w:pPr>
              <w:spacing w:after="0"/>
              <w:rPr>
                <w:sz w:val="15"/>
                <w:szCs w:val="15"/>
                <w:color w:val="auto"/>
              </w:rPr>
            </w:pP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Long-Term</w:t>
            </w:r>
          </w:p>
        </w:tc>
      </w:tr>
      <w:tr>
        <w:trPr>
          <w:trHeight w:val="170"/>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8.25% Notes:</w:t>
            </w:r>
          </w:p>
        </w:tc>
        <w:tc>
          <w:tcPr>
            <w:tcW w:w="12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Feb. 2027</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184"/>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w:t>
            </w:r>
          </w:p>
        </w:tc>
        <w:tc>
          <w:tcPr>
            <w:tcW w:w="17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r>
      <w:tr>
        <w:trPr>
          <w:trHeight w:val="177"/>
        </w:trPr>
        <w:tc>
          <w:tcPr>
            <w:tcW w:w="2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8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2.25% Convertible Notes:</w:t>
            </w:r>
          </w:p>
        </w:tc>
        <w:tc>
          <w:tcPr>
            <w:tcW w:w="1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Nov. 2030</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7"/>
        </w:trPr>
        <w:tc>
          <w:tcPr>
            <w:tcW w:w="2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402.5</w:t>
            </w:r>
          </w:p>
        </w:tc>
      </w:tr>
      <w:tr>
        <w:trPr>
          <w:trHeight w:val="198"/>
        </w:trPr>
        <w:tc>
          <w:tcPr>
            <w:tcW w:w="2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402.5</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486.0</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8.25% Notes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Pursuant to a notice of redemption issued on February 24, 2025, on March 26, 2025, the Company redeemed all 8.25% Notes at a redemption price equal to 100% of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$74.3 million aggregate principal amount, together with any accrued and unpaid interest. The Company recorded a gain of $11.8 million related to the extinguishment of the long-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debt. As of June 30, 2025, none of the 8.25% Notes remained outstanding.</w:t>
      </w:r>
    </w:p>
    <w:p>
      <w:pPr>
        <w:spacing w:after="0" w:line="180" w:lineRule="exact"/>
        <w:rPr>
          <w:sz w:val="20"/>
          <w:szCs w:val="20"/>
          <w:color w:val="auto"/>
        </w:rPr>
      </w:pPr>
    </w:p>
    <w:p>
      <w:pPr>
        <w:ind w:firstLine="191"/>
        <w:spacing w:after="0" w:line="300" w:lineRule="auto"/>
        <w:rPr>
          <w:sz w:val="20"/>
          <w:szCs w:val="20"/>
          <w:color w:val="auto"/>
        </w:rPr>
      </w:pPr>
      <w:r>
        <w:rPr>
          <w:rFonts w:ascii="Times New Roman" w:cs="Times New Roman" w:eastAsia="Times New Roman" w:hAnsi="Times New Roman"/>
          <w:sz w:val="14"/>
          <w:szCs w:val="14"/>
          <w:color w:val="auto"/>
        </w:rPr>
        <w:t xml:space="preserve">Interest on the Company’s 8.25% Notes was payable semi-annually in arrears as of February 28 and August 31 based on a 360-day year consisting of twelve 30-day months. The 8.25% Notes were issued in connection with a troubled debt restructuring; therefore, all future interest payment obligations on the 8.25% Notes were included in the carrying value of the 8.25% Notes. As a result, interest payments were reported as a reduction in the carrying value of the 8.25% Notes and not as interest expense. As of June 30, 2025 and December 31, 2024, $0 and $6.1 million, respectively, of interest was recorded as current and classified as </w:t>
      </w:r>
      <w:r>
        <w:rPr>
          <w:rFonts w:ascii="Times New Roman" w:cs="Times New Roman" w:eastAsia="Times New Roman" w:hAnsi="Times New Roman"/>
          <w:sz w:val="14"/>
          <w:szCs w:val="14"/>
          <w:i w:val="1"/>
          <w:iCs w:val="1"/>
          <w:color w:val="auto"/>
        </w:rPr>
        <w:t>Current Debt</w:t>
      </w:r>
      <w:r>
        <w:rPr>
          <w:rFonts w:ascii="Times New Roman" w:cs="Times New Roman" w:eastAsia="Times New Roman" w:hAnsi="Times New Roman"/>
          <w:sz w:val="14"/>
          <w:szCs w:val="14"/>
          <w:color w:val="auto"/>
        </w:rPr>
        <w:t xml:space="preserve"> in the Consolidated Balance Sheets.</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20" w:name="page21"/>
    <w:bookmarkEnd w:id="20"/>
    <w:p>
      <w:pPr>
        <w:ind w:left="200"/>
        <w:spacing w:after="0"/>
        <w:rPr>
          <w:sz w:val="20"/>
          <w:szCs w:val="20"/>
          <w:color w:val="auto"/>
        </w:rPr>
      </w:pPr>
      <w:r>
        <w:rPr>
          <w:rFonts w:ascii="Times New Roman" w:cs="Times New Roman" w:eastAsia="Times New Roman" w:hAnsi="Times New Roman"/>
          <w:sz w:val="16"/>
          <w:szCs w:val="16"/>
          <w:b w:val="1"/>
          <w:bCs w:val="1"/>
          <w:color w:val="auto"/>
        </w:rPr>
        <w:t>2.25% Convertible Notes</w:t>
      </w:r>
    </w:p>
    <w:p>
      <w:pPr>
        <w:spacing w:after="0" w:line="200" w:lineRule="exact"/>
        <w:rPr>
          <w:sz w:val="20"/>
          <w:szCs w:val="20"/>
          <w:color w:val="auto"/>
        </w:rPr>
      </w:pPr>
    </w:p>
    <w:p>
      <w:pPr>
        <w:ind w:firstLine="191"/>
        <w:spacing w:after="0" w:line="292" w:lineRule="auto"/>
        <w:rPr>
          <w:sz w:val="20"/>
          <w:szCs w:val="20"/>
          <w:color w:val="auto"/>
        </w:rPr>
      </w:pPr>
      <w:r>
        <w:rPr>
          <w:rFonts w:ascii="Times New Roman" w:cs="Times New Roman" w:eastAsia="Times New Roman" w:hAnsi="Times New Roman"/>
          <w:sz w:val="14"/>
          <w:szCs w:val="14"/>
          <w:color w:val="auto"/>
        </w:rPr>
        <w:t>On November 7, 2024, the Company issued, in a Rule 144A offering, the 2.25% Convertible Notes with an aggregate principal amount of $402.5 million, due November 1, 2030, unless earlier repurchased, redeemed or converted.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related to the issuance of the 2.25% Convertible Notes. The carrying amount of the 2.25% Convertible Notes as of June 30, 2025 of $390.0 million, includes the remaining principal outstanding of $402.5 million, net of total unamortized debt discounts and deferred debt issuance costs of $12.5 million.</w:t>
      </w:r>
    </w:p>
    <w:p>
      <w:pPr>
        <w:spacing w:after="0" w:line="145"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2.25% Convertible Notes are classified as a non-current liability in the consolidated balance sheets and no embedded features, inclusive of the conversion option, require bifurcation as an embedded derivative. Issuance costs were recorded as a reduction to the principal balance of the 2.25% Convertible Notes and will be amortized as interest expense using the effective interest method over the contractual term. A summary of interest expense and amortization of debt issuance costs is as follows (in millions):</w:t>
      </w:r>
    </w:p>
    <w:p>
      <w:pPr>
        <w:spacing w:after="0" w:line="262"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2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240" w:type="dxa"/>
            <w:vAlign w:val="bottom"/>
            <w:tcBorders>
              <w:bottom w:val="single" w:sz="8" w:color="auto"/>
            </w:tcBorders>
          </w:tcPr>
          <w:p>
            <w:pPr>
              <w:spacing w:after="0"/>
              <w:rPr>
                <w:sz w:val="16"/>
                <w:szCs w:val="16"/>
                <w:color w:val="auto"/>
              </w:rPr>
            </w:pPr>
          </w:p>
        </w:tc>
      </w:tr>
      <w:tr>
        <w:trPr>
          <w:trHeight w:val="176"/>
        </w:trPr>
        <w:tc>
          <w:tcPr>
            <w:tcW w:w="49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auto"/>
            </w:tcBorders>
          </w:tcPr>
          <w:p>
            <w:pPr>
              <w:spacing w:after="0"/>
              <w:rPr>
                <w:sz w:val="15"/>
                <w:szCs w:val="15"/>
                <w:color w:val="auto"/>
              </w:rPr>
            </w:pPr>
          </w:p>
        </w:tc>
      </w:tr>
      <w:tr>
        <w:trPr>
          <w:trHeight w:val="172"/>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Contractual interest expense (2.25% coupon)</w:t>
            </w:r>
          </w:p>
        </w:tc>
        <w:tc>
          <w:tcPr>
            <w:tcW w:w="72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debt issuance costs and discount</w:t>
            </w:r>
          </w:p>
        </w:tc>
        <w:tc>
          <w:tcPr>
            <w:tcW w:w="7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Convertible Notes interest expense</w:t>
            </w:r>
          </w:p>
        </w:tc>
        <w:tc>
          <w:tcPr>
            <w:tcW w:w="72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Before August 1, 2030, noteholders may convert the 2.25% Convertible Notes in any of the following circumstances:</w:t>
      </w:r>
    </w:p>
    <w:p>
      <w:pPr>
        <w:spacing w:after="0" w:line="198" w:lineRule="exact"/>
        <w:rPr>
          <w:sz w:val="20"/>
          <w:szCs w:val="20"/>
          <w:color w:val="auto"/>
        </w:rPr>
      </w:pPr>
    </w:p>
    <w:p>
      <w:pPr>
        <w:ind w:left="580" w:right="80" w:hanging="193"/>
        <w:spacing w:after="0" w:line="254" w:lineRule="auto"/>
        <w:tabs>
          <w:tab w:leader="none" w:pos="57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five consecutive business days immediately after any ten consecutive trading day period (the “Measurement Period”), in which the trading price per $1,000 principal amount of the 2.25% Convertible Notes for each trading day of the Measurement Period was less than 98% of the product of the last reported sale price per share of Company’s Class A Common Stock on such trading day and the conversion rate on each such trading day; or</w:t>
      </w:r>
    </w:p>
    <w:p>
      <w:pPr>
        <w:spacing w:after="0" w:line="9" w:lineRule="exact"/>
        <w:rPr>
          <w:rFonts w:ascii="Times New Roman" w:cs="Times New Roman" w:eastAsia="Times New Roman" w:hAnsi="Times New Roman"/>
          <w:sz w:val="16"/>
          <w:szCs w:val="16"/>
          <w:color w:val="auto"/>
        </w:rPr>
      </w:pPr>
    </w:p>
    <w:p>
      <w:pPr>
        <w:jc w:val="both"/>
        <w:ind w:left="580" w:right="280" w:hanging="193"/>
        <w:spacing w:after="0" w:line="261" w:lineRule="auto"/>
        <w:tabs>
          <w:tab w:leader="none" w:pos="57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fiscal quarter commencing after the fiscal quarter ending on December 31, 2024, if the last reported sale price per share of the Company’s Class A Common Stock is greater than or equal to 130% of the conversion price for each of at least twenty trading days (whether or not consecutive) during the thirty consecutive trading days ending on, and including, the last trading day of the immediately preceding calendar quarter; or</w:t>
      </w:r>
    </w:p>
    <w:p>
      <w:pPr>
        <w:spacing w:after="0" w:line="4"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certain corporate events or distributions on the Company’s Class A Common Stock; or</w:t>
      </w:r>
    </w:p>
    <w:p>
      <w:pPr>
        <w:spacing w:after="0" w:line="49" w:lineRule="exact"/>
        <w:rPr>
          <w:rFonts w:ascii="Times New Roman" w:cs="Times New Roman" w:eastAsia="Times New Roman" w:hAnsi="Times New Roman"/>
          <w:sz w:val="16"/>
          <w:szCs w:val="16"/>
          <w:color w:val="auto"/>
        </w:rPr>
      </w:pPr>
    </w:p>
    <w:p>
      <w:pPr>
        <w:ind w:left="580" w:right="260" w:hanging="193"/>
        <w:spacing w:after="0" w:line="259" w:lineRule="auto"/>
        <w:tabs>
          <w:tab w:leader="none" w:pos="57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calls such notes for redemption, then the noteholder of any note may convert such note at any time before the close of business on the second scheduled trading day immediately before the related redemption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1" w:name="page22"/>
    <w:bookmarkEnd w:id="21"/>
    <w:p>
      <w:pPr>
        <w:ind w:right="40" w:firstLine="191"/>
        <w:spacing w:after="0" w:line="292" w:lineRule="auto"/>
        <w:rPr>
          <w:sz w:val="20"/>
          <w:szCs w:val="20"/>
          <w:color w:val="auto"/>
        </w:rPr>
      </w:pPr>
      <w:r>
        <w:rPr>
          <w:rFonts w:ascii="Times New Roman" w:cs="Times New Roman" w:eastAsia="Times New Roman" w:hAnsi="Times New Roman"/>
          <w:sz w:val="14"/>
          <w:szCs w:val="14"/>
          <w:color w:val="auto"/>
        </w:rPr>
        <w:t>Beginning on August 1, 2030, noteholders may convert their notes at any time at their election until the close of business on the business day immediately before the maturity date. The Company will satisfy its conversion obligations by paying cash up to the aggregate principal amount of notes to be converted, and by issuing shares of its Class A Common Stock or a combination of cash and shares of its Class A Common Stock, at its election for the incremental value. The initial conversion rate is 10.2564 shares of Class A Common Stock per $1,000 principal amount of the notes, representing an initial conversion price of approximately $97.50 per share of Class A Common Stock. The conversion rate will be adjusted upon the occurrence of certain events, including spin-offs, tender offers, exchange offers, make-whole fundamental change and certain stockholder distributions.</w:t>
      </w:r>
    </w:p>
    <w:p>
      <w:pPr>
        <w:spacing w:after="0" w:line="145" w:lineRule="exact"/>
        <w:rPr>
          <w:sz w:val="20"/>
          <w:szCs w:val="20"/>
          <w:color w:val="auto"/>
        </w:rPr>
      </w:pPr>
    </w:p>
    <w:p>
      <w:pPr>
        <w:jc w:val="both"/>
        <w:ind w:firstLine="191"/>
        <w:spacing w:after="0" w:line="252" w:lineRule="auto"/>
        <w:rPr>
          <w:sz w:val="20"/>
          <w:szCs w:val="20"/>
          <w:color w:val="auto"/>
        </w:rPr>
      </w:pPr>
      <w:r>
        <w:rPr>
          <w:rFonts w:ascii="Times New Roman" w:cs="Times New Roman" w:eastAsia="Times New Roman" w:hAnsi="Times New Roman"/>
          <w:sz w:val="16"/>
          <w:szCs w:val="16"/>
          <w:color w:val="auto"/>
        </w:rPr>
        <w:t>Beginning on November 8, 2027, the Company may redeem for cash all or any portion of the notes, at a repurchase price equal to 100% of the principal amount, plus accrued and unpaid interest, if the last reported sale price per share of the Company’s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spacing w:after="0" w:line="161" w:lineRule="exact"/>
        <w:rPr>
          <w:sz w:val="20"/>
          <w:szCs w:val="20"/>
          <w:color w:val="auto"/>
        </w:rPr>
      </w:pPr>
    </w:p>
    <w:p>
      <w:pPr>
        <w:jc w:val="both"/>
        <w:ind w:firstLine="191"/>
        <w:spacing w:after="0" w:line="251" w:lineRule="auto"/>
        <w:rPr>
          <w:sz w:val="20"/>
          <w:szCs w:val="20"/>
          <w:color w:val="auto"/>
        </w:rPr>
      </w:pPr>
      <w:r>
        <w:rPr>
          <w:rFonts w:ascii="Times New Roman" w:cs="Times New Roman" w:eastAsia="Times New Roman" w:hAnsi="Times New Roman"/>
          <w:sz w:val="16"/>
          <w:szCs w:val="16"/>
          <w:color w:val="auto"/>
        </w:rPr>
        <w:t>On June 30, 2025, the Company provided notice to the noteholders that the notes became convertible at the option of the holders beginning on July 1, 2025, and ending at the close of business on September 30, 2025.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the calendar quarter ended June 30, 2025, was greater than 130% of the conversion price in effect on each applicable trading day.</w:t>
      </w:r>
    </w:p>
    <w:p>
      <w:pPr>
        <w:spacing w:after="0" w:line="163" w:lineRule="exact"/>
        <w:rPr>
          <w:sz w:val="20"/>
          <w:szCs w:val="20"/>
          <w:color w:val="auto"/>
        </w:rPr>
      </w:pPr>
    </w:p>
    <w:p>
      <w:pPr>
        <w:ind w:right="280" w:firstLine="191"/>
        <w:spacing w:after="0" w:line="252" w:lineRule="auto"/>
        <w:rPr>
          <w:sz w:val="20"/>
          <w:szCs w:val="20"/>
          <w:color w:val="auto"/>
        </w:rPr>
      </w:pPr>
      <w:r>
        <w:rPr>
          <w:rFonts w:ascii="Times New Roman" w:cs="Times New Roman" w:eastAsia="Times New Roman" w:hAnsi="Times New Roman"/>
          <w:sz w:val="16"/>
          <w:szCs w:val="16"/>
          <w:color w:val="auto"/>
        </w:rPr>
        <w:t>If certain corporate events that constitute a “fundamental change”, such as business combination transactions involving the Company, shareholder approval of liquidation or dissolution of the Company, and certain de-listing events with respect to the Company’s Class A Common Stock, occur at any time, holders may, subject to certain exceptions, require the Company to purchase their notes in whole or in part for cash at a price equal to 100% of the principal amount of the 2.25% Convertible Notes to be repurchased, plus accrued and unpaid interest, to, but excluding, the fundamental change repurchase date.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FAIR VALUE</w:t>
      </w:r>
    </w:p>
    <w:p>
      <w:pPr>
        <w:spacing w:after="0" w:line="189" w:lineRule="exact"/>
        <w:rPr>
          <w:sz w:val="20"/>
          <w:szCs w:val="20"/>
          <w:color w:val="auto"/>
        </w:rPr>
      </w:pPr>
    </w:p>
    <w:p>
      <w:pPr>
        <w:ind w:right="260" w:firstLine="191"/>
        <w:spacing w:after="0" w:line="254" w:lineRule="auto"/>
        <w:rPr>
          <w:sz w:val="20"/>
          <w:szCs w:val="20"/>
          <w:color w:val="auto"/>
        </w:rPr>
      </w:pPr>
      <w:r>
        <w:rPr>
          <w:rFonts w:ascii="Times New Roman" w:cs="Times New Roman" w:eastAsia="Times New Roman" w:hAnsi="Times New Roman"/>
          <w:sz w:val="16"/>
          <w:szCs w:val="16"/>
          <w:color w:val="auto"/>
        </w:rPr>
        <w:t>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w:t>
      </w:r>
    </w:p>
    <w:p>
      <w:pPr>
        <w:spacing w:after="0" w:line="63" w:lineRule="exact"/>
        <w:rPr>
          <w:sz w:val="20"/>
          <w:szCs w:val="20"/>
          <w:color w:val="auto"/>
        </w:rPr>
      </w:pPr>
    </w:p>
    <w:p>
      <w:pPr>
        <w:ind w:left="560" w:hanging="173"/>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assets include investments with quoted prices in active markets that the Company has the ability to liquidate as of the reporting date.</w:t>
      </w:r>
    </w:p>
    <w:p>
      <w:pPr>
        <w:spacing w:after="0" w:line="91" w:lineRule="exact"/>
        <w:rPr>
          <w:rFonts w:ascii="Times New Roman" w:cs="Times New Roman" w:eastAsia="Times New Roman" w:hAnsi="Times New Roman"/>
          <w:sz w:val="16"/>
          <w:szCs w:val="16"/>
          <w:color w:val="auto"/>
        </w:rPr>
      </w:pPr>
    </w:p>
    <w:p>
      <w:pPr>
        <w:ind w:left="580" w:right="140" w:hanging="193"/>
        <w:spacing w:after="0" w:line="259" w:lineRule="auto"/>
        <w:tabs>
          <w:tab w:leader="none" w:pos="5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assets include investments in U.S. government agency securities, corporate and municipal debt whose estimates are valued based on observable inputs, other than quoted prices.</w:t>
      </w:r>
    </w:p>
    <w:p>
      <w:pPr>
        <w:spacing w:after="0" w:line="59"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3 assets include investments with unobservable inputs, such as third-party valuations, due to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6"/>
          <w:szCs w:val="16"/>
          <w:i w:val="1"/>
          <w:iCs w:val="1"/>
          <w:color w:val="auto"/>
        </w:rPr>
        <w:t>Financial Instruments Recorded at Fair Value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r>
      <w:tr>
        <w:trPr>
          <w:trHeight w:val="179"/>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833.0</w:t>
            </w:r>
          </w:p>
        </w:tc>
        <w:tc>
          <w:tcPr>
            <w:tcW w:w="16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671.4</w:t>
            </w:r>
          </w:p>
        </w:tc>
      </w:tr>
      <w:tr>
        <w:trPr>
          <w:trHeight w:val="182"/>
        </w:trPr>
        <w:tc>
          <w:tcPr>
            <w:tcW w:w="3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3"/>
                <w:szCs w:val="13"/>
                <w:color w:val="auto"/>
              </w:rPr>
              <w:t xml:space="preserve">Deferred compensation asset </w:t>
            </w:r>
            <w:r>
              <w:rPr>
                <w:rFonts w:ascii="Times New Roman" w:cs="Times New Roman" w:eastAsia="Times New Roman" w:hAnsi="Times New Roman"/>
                <w:sz w:val="17"/>
                <w:szCs w:val="17"/>
                <w:color w:val="auto"/>
                <w:vertAlign w:val="superscript"/>
              </w:rPr>
              <w:t>(a)</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r>
      <w:tr>
        <w:trPr>
          <w:trHeight w:val="127"/>
        </w:trPr>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Deferred compensation obligation </w:t>
            </w:r>
            <w:r>
              <w:rPr>
                <w:rFonts w:ascii="Times New Roman" w:cs="Times New Roman" w:eastAsia="Times New Roman" w:hAnsi="Times New Roman"/>
                <w:sz w:val="17"/>
                <w:szCs w:val="17"/>
                <w:color w:val="auto"/>
                <w:vertAlign w:val="superscript"/>
              </w:rPr>
              <w:t>(a)</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c>
          <w:tcPr>
            <w:tcW w:w="160" w:type="dxa"/>
            <w:vAlign w:val="bottom"/>
          </w:tcPr>
          <w:p>
            <w:pPr>
              <w:spacing w:after="0"/>
              <w:rPr>
                <w:sz w:val="20"/>
                <w:szCs w:val="20"/>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r>
    </w:tbl>
    <w:p>
      <w:pPr>
        <w:spacing w:after="0" w:line="179" w:lineRule="exact"/>
        <w:rPr>
          <w:sz w:val="20"/>
          <w:szCs w:val="20"/>
          <w:color w:val="auto"/>
        </w:rPr>
      </w:pPr>
    </w:p>
    <w:p>
      <w:pPr>
        <w:ind w:left="640" w:right="20" w:hanging="253"/>
        <w:spacing w:after="0" w:line="230" w:lineRule="auto"/>
        <w:tabs>
          <w:tab w:leader="none" w:pos="626"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deferred compensation obligation represents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were no transfers between Level 1, 2 or 3 during the periods presented.</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Other Financial Instruments</w:t>
      </w:r>
    </w:p>
    <w:p>
      <w:pPr>
        <w:spacing w:after="0" w:line="187" w:lineRule="exact"/>
        <w:rPr>
          <w:sz w:val="20"/>
          <w:szCs w:val="20"/>
          <w:color w:val="auto"/>
        </w:rPr>
      </w:pPr>
    </w:p>
    <w:p>
      <w:pPr>
        <w:ind w:right="20" w:firstLine="191"/>
        <w:spacing w:after="0" w:line="349" w:lineRule="auto"/>
        <w:rPr>
          <w:sz w:val="20"/>
          <w:szCs w:val="20"/>
          <w:color w:val="auto"/>
        </w:rPr>
      </w:pPr>
      <w:r>
        <w:rPr>
          <w:rFonts w:ascii="Times New Roman" w:cs="Times New Roman" w:eastAsia="Times New Roman" w:hAnsi="Times New Roman"/>
          <w:sz w:val="14"/>
          <w:szCs w:val="14"/>
          <w:color w:val="auto"/>
        </w:rPr>
        <w:t xml:space="preserve">As of June 30, 2025, and December 31, 2024, the Consolidated Balance Sheets carrying amounts for </w:t>
      </w:r>
      <w:r>
        <w:rPr>
          <w:rFonts w:ascii="Times New Roman" w:cs="Times New Roman" w:eastAsia="Times New Roman" w:hAnsi="Times New Roman"/>
          <w:sz w:val="14"/>
          <w:szCs w:val="14"/>
          <w:i w:val="1"/>
          <w:iCs w:val="1"/>
          <w:color w:val="auto"/>
        </w:rPr>
        <w:t>Accounts Receivable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Accounts Payable and Accrued Liabilities</w:t>
      </w:r>
      <w:r>
        <w:rPr>
          <w:rFonts w:ascii="Times New Roman" w:cs="Times New Roman" w:eastAsia="Times New Roman" w:hAnsi="Times New Roman"/>
          <w:sz w:val="14"/>
          <w:szCs w:val="14"/>
          <w:color w:val="auto"/>
        </w:rPr>
        <w:t xml:space="preserve"> (excluding the deferred compensation obligation described above), and </w:t>
      </w:r>
      <w:r>
        <w:rPr>
          <w:rFonts w:ascii="Times New Roman" w:cs="Times New Roman" w:eastAsia="Times New Roman" w:hAnsi="Times New Roman"/>
          <w:sz w:val="14"/>
          <w:szCs w:val="14"/>
          <w:i w:val="1"/>
          <w:iCs w:val="1"/>
          <w:color w:val="auto"/>
        </w:rPr>
        <w:t>Payables under Inventory Purchase Agreements</w:t>
      </w:r>
      <w:r>
        <w:rPr>
          <w:rFonts w:ascii="Times New Roman" w:cs="Times New Roman" w:eastAsia="Times New Roman" w:hAnsi="Times New Roman"/>
          <w:sz w:val="14"/>
          <w:szCs w:val="14"/>
          <w:color w:val="auto"/>
        </w:rPr>
        <w:t xml:space="preserve"> approximate fair value because of their short-term nature.</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carrying value and estimated fair value of long-term debt were as follows (in millions):</w:t>
      </w:r>
    </w:p>
    <w:p>
      <w:pPr>
        <w:spacing w:after="0" w:line="111"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9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3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Estimated Fair Value</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320" w:type="dxa"/>
            <w:vAlign w:val="bottom"/>
          </w:tcPr>
          <w:p>
            <w:pPr>
              <w:spacing w:after="0"/>
              <w:rPr>
                <w:sz w:val="10"/>
                <w:szCs w:val="10"/>
                <w:color w:val="auto"/>
              </w:rPr>
            </w:pPr>
          </w:p>
        </w:tc>
        <w:tc>
          <w:tcPr>
            <w:tcW w:w="1360" w:type="dxa"/>
            <w:vAlign w:val="bottom"/>
            <w:gridSpan w:val="2"/>
          </w:tcPr>
          <w:p>
            <w:pPr>
              <w:jc w:val="right"/>
              <w:ind w:right="21"/>
              <w:spacing w:after="0" w:line="124" w:lineRule="exact"/>
              <w:rPr>
                <w:sz w:val="20"/>
                <w:szCs w:val="20"/>
                <w:color w:val="auto"/>
              </w:rPr>
            </w:pPr>
            <w:r>
              <w:rPr>
                <w:rFonts w:ascii="Times New Roman" w:cs="Times New Roman" w:eastAsia="Times New Roman" w:hAnsi="Times New Roman"/>
                <w:sz w:val="13"/>
                <w:szCs w:val="13"/>
                <w:b w:val="1"/>
                <w:bCs w:val="1"/>
                <w:color w:val="auto"/>
              </w:rPr>
              <w:t>Estimated Fair Value</w:t>
            </w:r>
          </w:p>
        </w:tc>
        <w:tc>
          <w:tcPr>
            <w:tcW w:w="0" w:type="dxa"/>
            <w:vAlign w:val="bottom"/>
          </w:tcPr>
          <w:p>
            <w:pPr>
              <w:spacing w:after="0"/>
              <w:rPr>
                <w:sz w:val="1"/>
                <w:szCs w:val="1"/>
                <w:color w:val="auto"/>
              </w:rPr>
            </w:pPr>
          </w:p>
        </w:tc>
      </w:tr>
      <w:tr>
        <w:trPr>
          <w:trHeight w:val="114"/>
        </w:trPr>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gridSpan w:val="2"/>
          </w:tcPr>
          <w:p>
            <w:pPr>
              <w:jc w:val="center"/>
              <w:ind w:right="760"/>
              <w:spacing w:after="0"/>
              <w:rPr>
                <w:sz w:val="20"/>
                <w:szCs w:val="20"/>
                <w:color w:val="auto"/>
              </w:rPr>
            </w:pPr>
            <w:r>
              <w:rPr>
                <w:rFonts w:ascii="Times New Roman" w:cs="Times New Roman" w:eastAsia="Times New Roman" w:hAnsi="Times New Roman"/>
                <w:sz w:val="9"/>
                <w:szCs w:val="9"/>
                <w:b w:val="1"/>
                <w:bCs w:val="1"/>
                <w:color w:val="auto"/>
                <w:w w:val="94"/>
              </w:rPr>
              <w:t>(a)</w:t>
            </w:r>
          </w:p>
        </w:tc>
        <w:tc>
          <w:tcPr>
            <w:tcW w:w="1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jc w:val="right"/>
              <w:ind w:right="581"/>
              <w:spacing w:after="0"/>
              <w:rPr>
                <w:sz w:val="20"/>
                <w:szCs w:val="20"/>
                <w:color w:val="auto"/>
              </w:rPr>
            </w:pP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24"/>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8.25% Notes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9"/>
                <w:szCs w:val="9"/>
                <w:color w:val="auto"/>
                <w:w w:val="94"/>
              </w:rPr>
              <w:t>(b)</w:t>
            </w: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(b)</w:t>
            </w: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340" w:type="dxa"/>
            <w:vAlign w:val="bottom"/>
            <w:vMerge w:val="continue"/>
          </w:tcPr>
          <w:p>
            <w:pPr>
              <w:spacing w:after="0"/>
              <w:rPr>
                <w:sz w:val="11"/>
                <w:szCs w:val="11"/>
                <w:color w:val="auto"/>
              </w:rPr>
            </w:pPr>
          </w:p>
        </w:tc>
        <w:tc>
          <w:tcPr>
            <w:tcW w:w="1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continue"/>
          </w:tcPr>
          <w:p>
            <w:pPr>
              <w:spacing w:after="0"/>
              <w:rPr>
                <w:sz w:val="11"/>
                <w:szCs w:val="11"/>
                <w:color w:val="auto"/>
              </w:rPr>
            </w:pPr>
          </w:p>
        </w:tc>
        <w:tc>
          <w:tcPr>
            <w:tcW w:w="440" w:type="dxa"/>
            <w:vAlign w:val="bottom"/>
          </w:tcPr>
          <w:p>
            <w:pPr>
              <w:jc w:val="right"/>
              <w:ind w:right="293"/>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
              <w:spacing w:after="0" w:line="13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89.6</w:t>
            </w:r>
          </w:p>
        </w:tc>
        <w:tc>
          <w:tcPr>
            <w:tcW w:w="320" w:type="dxa"/>
            <w:vAlign w:val="bottom"/>
            <w:vMerge w:val="continue"/>
          </w:tcPr>
          <w:p>
            <w:pPr>
              <w:spacing w:after="0"/>
              <w:rPr>
                <w:sz w:val="11"/>
                <w:szCs w:val="11"/>
                <w:color w:val="auto"/>
              </w:rPr>
            </w:pPr>
          </w:p>
        </w:tc>
        <w:tc>
          <w:tcPr>
            <w:tcW w:w="500" w:type="dxa"/>
            <w:vAlign w:val="bottom"/>
          </w:tcPr>
          <w:p>
            <w:pPr>
              <w:jc w:val="right"/>
              <w:ind w:right="353"/>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
              <w:spacing w:after="0" w:line="136" w:lineRule="exact"/>
              <w:rPr>
                <w:sz w:val="20"/>
                <w:szCs w:val="20"/>
                <w:color w:val="auto"/>
              </w:rPr>
            </w:pPr>
            <w:r>
              <w:rPr>
                <w:rFonts w:ascii="Times New Roman" w:cs="Times New Roman" w:eastAsia="Times New Roman" w:hAnsi="Times New Roman"/>
                <w:sz w:val="13"/>
                <w:szCs w:val="13"/>
                <w:color w:val="auto"/>
              </w:rPr>
              <w:t>73.6</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2.25% Convertible Notes</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 xml:space="preserve">390.0 </w:t>
            </w:r>
            <w:r>
              <w:rPr>
                <w:rFonts w:ascii="Times New Roman" w:cs="Times New Roman" w:eastAsia="Times New Roman" w:hAnsi="Times New Roman"/>
                <w:sz w:val="17"/>
                <w:szCs w:val="17"/>
                <w:color w:val="auto"/>
                <w:vertAlign w:val="superscript"/>
              </w:rPr>
              <w:t>(c)</w:t>
            </w:r>
          </w:p>
        </w:tc>
        <w:tc>
          <w:tcPr>
            <w:tcW w:w="44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804.6</w:t>
            </w:r>
          </w:p>
        </w:tc>
        <w:tc>
          <w:tcPr>
            <w:tcW w:w="320" w:type="dxa"/>
            <w:vAlign w:val="bottom"/>
          </w:tcPr>
          <w:p>
            <w:pPr>
              <w:spacing w:after="0"/>
              <w:rPr>
                <w:sz w:val="20"/>
                <w:szCs w:val="20"/>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389.0</w:t>
            </w:r>
          </w:p>
        </w:tc>
        <w:tc>
          <w:tcPr>
            <w:tcW w:w="320" w:type="dxa"/>
            <w:vAlign w:val="bottom"/>
          </w:tcPr>
          <w:p>
            <w:pPr>
              <w:spacing w:after="0"/>
              <w:rPr>
                <w:sz w:val="20"/>
                <w:szCs w:val="20"/>
                <w:color w:val="auto"/>
              </w:rPr>
            </w:pPr>
            <w:r>
              <w:rPr>
                <w:rFonts w:ascii="Times New Roman" w:cs="Times New Roman" w:eastAsia="Times New Roman" w:hAnsi="Times New Roman"/>
                <w:sz w:val="9"/>
                <w:szCs w:val="9"/>
                <w:color w:val="auto"/>
              </w:rPr>
              <w:t>(c)</w:t>
            </w: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403.8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-245110</wp:posOffset>
            </wp:positionV>
            <wp:extent cx="5565140" cy="121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65140" cy="121285"/>
                    </a:xfrm>
                    <a:prstGeom prst="rect">
                      <a:avLst/>
                    </a:prstGeom>
                    <a:noFill/>
                  </pic:spPr>
                </pic:pic>
              </a:graphicData>
            </a:graphic>
          </wp:anchor>
        </w:drawing>
      </w:r>
    </w:p>
    <w:p>
      <w:pPr>
        <w:spacing w:after="0" w:line="87" w:lineRule="exact"/>
        <w:rPr>
          <w:sz w:val="20"/>
          <w:szCs w:val="20"/>
          <w:color w:val="auto"/>
        </w:rPr>
      </w:pPr>
    </w:p>
    <w:p>
      <w:pPr>
        <w:ind w:left="900" w:hanging="131"/>
        <w:spacing w:after="0"/>
        <w:tabs>
          <w:tab w:leader="none" w:pos="9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Based on bid/ask quotes as of or near the balance sheet date, which are considered Level 2 inputs.</w:t>
      </w:r>
    </w:p>
    <w:p>
      <w:pPr>
        <w:spacing w:after="0" w:line="70" w:lineRule="exact"/>
        <w:rPr>
          <w:rFonts w:ascii="Times New Roman" w:cs="Times New Roman" w:eastAsia="Times New Roman" w:hAnsi="Times New Roman"/>
          <w:sz w:val="17"/>
          <w:szCs w:val="17"/>
          <w:color w:val="auto"/>
          <w:vertAlign w:val="superscript"/>
        </w:rPr>
      </w:pPr>
    </w:p>
    <w:p>
      <w:pPr>
        <w:ind w:left="900" w:hanging="131"/>
        <w:spacing w:after="0" w:line="237" w:lineRule="auto"/>
        <w:tabs>
          <w:tab w:leader="none" w:pos="971"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June 30, 2025, the carrying value of the 8.25% Notes consists of the principal balance of $0 due to the redemption of the 8.25% Notes in March 2025. As of December 31, 2024, the carrying value of the 8.25% Notes consists of the principal balance of $74.3 million and the sum of current and noncurrent interest payment obligations until maturity. Refer to Note 6</w:t>
      </w:r>
      <w:r>
        <w:rPr>
          <w:rFonts w:ascii="Times New Roman" w:cs="Times New Roman" w:eastAsia="Times New Roman" w:hAnsi="Times New Roman"/>
          <w:sz w:val="14"/>
          <w:szCs w:val="14"/>
          <w:i w:val="1"/>
          <w:iCs w:val="1"/>
          <w:color w:val="auto"/>
        </w:rPr>
        <w:t>, Debt</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900" w:right="540" w:hanging="126"/>
        <w:spacing w:after="0" w:line="230" w:lineRule="auto"/>
        <w:rPr>
          <w:sz w:val="20"/>
          <w:szCs w:val="20"/>
          <w:color w:val="auto"/>
        </w:rPr>
      </w:pPr>
      <w:r>
        <w:rPr>
          <w:rFonts w:ascii="Times New Roman" w:cs="Times New Roman" w:eastAsia="Times New Roman" w:hAnsi="Times New Roman"/>
          <w:sz w:val="18"/>
          <w:szCs w:val="18"/>
          <w:color w:val="auto"/>
          <w:vertAlign w:val="superscript"/>
        </w:rPr>
        <w:t>(c)</w:t>
      </w:r>
      <w:r>
        <w:rPr>
          <w:rFonts w:ascii="Times New Roman" w:cs="Times New Roman" w:eastAsia="Times New Roman" w:hAnsi="Times New Roman"/>
          <w:sz w:val="14"/>
          <w:szCs w:val="14"/>
          <w:color w:val="auto"/>
        </w:rPr>
        <w:t xml:space="preserve">As of June 30, 2025 and December 31, 2024, the carrying value of the 2.25% Convertible Notes is net of $12.5 million and $13.5 million of unamortized debt issuance costs, respectively.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8. PENSION AND POSTRETIREMENT HEALTH AND LIFE BENEFITS</w:t>
      </w:r>
    </w:p>
    <w:p>
      <w:pPr>
        <w:spacing w:after="0" w:line="200" w:lineRule="exact"/>
        <w:rPr>
          <w:sz w:val="20"/>
          <w:szCs w:val="20"/>
          <w:color w:val="auto"/>
        </w:rPr>
      </w:pPr>
    </w:p>
    <w:p>
      <w:pPr>
        <w:ind w:right="220" w:firstLine="191"/>
        <w:spacing w:after="0" w:line="259" w:lineRule="auto"/>
        <w:rPr>
          <w:sz w:val="20"/>
          <w:szCs w:val="20"/>
          <w:color w:val="auto"/>
        </w:rPr>
      </w:pPr>
      <w:r>
        <w:rPr>
          <w:rFonts w:ascii="Times New Roman" w:cs="Times New Roman" w:eastAsia="Times New Roman" w:hAnsi="Times New Roman"/>
          <w:sz w:val="16"/>
          <w:szCs w:val="16"/>
          <w:color w:val="auto"/>
        </w:rPr>
        <w:t>The Company provides retirement benefits to certain employees and retirees. The Company has one qualified defined benefit pension plan, one postretirement health and life benefit plan and two nonqualified plans.</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components of net periodic benefit costs (credits) for the defined benefit pension plans were as follows (in millions):</w:t>
      </w:r>
    </w:p>
    <w:p>
      <w:pPr>
        <w:spacing w:after="0" w:line="89"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1980" w:type="dxa"/>
            <w:vAlign w:val="bottom"/>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4"/>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9"/>
        </w:trPr>
        <w:tc>
          <w:tcPr>
            <w:tcW w:w="43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20" w:type="dxa"/>
            <w:vAlign w:val="bottom"/>
            <w:tcBorders>
              <w:bottom w:val="single" w:sz="8" w:color="auto"/>
            </w:tcBorders>
          </w:tcPr>
          <w:p>
            <w:pPr>
              <w:spacing w:after="0"/>
              <w:rPr>
                <w:sz w:val="15"/>
                <w:szCs w:val="15"/>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costs</w:t>
            </w: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7"/>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costs</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8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costs (credits), net</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7"/>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Remeasurement gain</w:t>
            </w:r>
          </w:p>
        </w:tc>
        <w:tc>
          <w:tcPr>
            <w:tcW w:w="76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r>
      <w:tr>
        <w:trPr>
          <w:trHeight w:val="18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plan assets (gains)</w:t>
            </w:r>
          </w:p>
        </w:tc>
        <w:tc>
          <w:tcPr>
            <w:tcW w:w="7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periodic benefit costs (credits)</w:t>
            </w:r>
          </w:p>
        </w:tc>
        <w:tc>
          <w:tcPr>
            <w:tcW w:w="7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(17.0)</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r>
      <w:tr>
        <w:trPr>
          <w:trHeight w:val="20"/>
        </w:trPr>
        <w:tc>
          <w:tcPr>
            <w:tcW w:w="4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components of net periodic benefit costs for the postretirement health and life benefit plan were as follows (in millions):</w:t>
      </w:r>
    </w:p>
    <w:p>
      <w:pPr>
        <w:spacing w:after="0" w:line="89"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2040" w:type="dxa"/>
            <w:vAlign w:val="bottom"/>
            <w:gridSpan w:val="4"/>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9"/>
        </w:trPr>
        <w:tc>
          <w:tcPr>
            <w:tcW w:w="4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0" w:type="dxa"/>
            <w:vAlign w:val="bottom"/>
            <w:tcBorders>
              <w:bottom w:val="single" w:sz="8" w:color="auto"/>
            </w:tcBorders>
          </w:tcPr>
          <w:p>
            <w:pPr>
              <w:spacing w:after="0"/>
              <w:rPr>
                <w:sz w:val="15"/>
                <w:szCs w:val="15"/>
                <w:color w:val="auto"/>
              </w:rPr>
            </w:pPr>
          </w:p>
        </w:tc>
      </w:tr>
      <w:tr>
        <w:trPr>
          <w:trHeight w:val="171"/>
        </w:trPr>
        <w:tc>
          <w:tcPr>
            <w:tcW w:w="4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costs</w:t>
            </w:r>
          </w:p>
        </w:tc>
        <w:tc>
          <w:tcPr>
            <w:tcW w:w="78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periodic benefit costs</w:t>
            </w:r>
          </w:p>
        </w:tc>
        <w:tc>
          <w:tcPr>
            <w:tcW w:w="7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r>
      <w:tr>
        <w:trPr>
          <w:trHeight w:val="20"/>
        </w:trPr>
        <w:tc>
          <w:tcPr>
            <w:tcW w:w="4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460" w:firstLine="191"/>
        <w:spacing w:after="0" w:line="349" w:lineRule="auto"/>
        <w:rPr>
          <w:sz w:val="20"/>
          <w:szCs w:val="20"/>
          <w:color w:val="auto"/>
        </w:rPr>
      </w:pPr>
      <w:r>
        <w:rPr>
          <w:rFonts w:ascii="Times New Roman" w:cs="Times New Roman" w:eastAsia="Times New Roman" w:hAnsi="Times New Roman"/>
          <w:sz w:val="14"/>
          <w:szCs w:val="14"/>
          <w:color w:val="auto"/>
        </w:rPr>
        <w:t xml:space="preserve">The Company reports service costs for its defined benefit pension plans and its postretirement health and life benefit plans in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Administrative Expenses</w:t>
      </w:r>
      <w:r>
        <w:rPr>
          <w:rFonts w:ascii="Times New Roman" w:cs="Times New Roman" w:eastAsia="Times New Roman" w:hAnsi="Times New Roman"/>
          <w:sz w:val="14"/>
          <w:szCs w:val="14"/>
          <w:color w:val="auto"/>
        </w:rPr>
        <w:t>. The remaining components of net periodic benefit (credits) costs are reported as</w:t>
      </w:r>
      <w:r>
        <w:rPr>
          <w:rFonts w:ascii="Times New Roman" w:cs="Times New Roman" w:eastAsia="Times New Roman" w:hAnsi="Times New Roman"/>
          <w:sz w:val="14"/>
          <w:szCs w:val="14"/>
          <w:i w:val="1"/>
          <w:iCs w:val="1"/>
          <w:color w:val="auto"/>
        </w:rPr>
        <w:t xml:space="preserve"> Nonoperating Components of Net Periodic Benefit Loss (Income).</w:t>
      </w:r>
    </w:p>
    <w:p>
      <w:pPr>
        <w:spacing w:after="0" w:line="96"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During the second quarter of 2024, the Company determined that it was probable that lump sum payouts for 2024 would be greater than the annual service and interest cost components of the annual net periodic benefit cost for two of its defined benefit pension plans. In addition, on May 28, 2024, the Company entered into an agreement with an insurer (“Insurer”) for two of its defined benefit plans to purchase a group annuity contract and transferred approximately $234.0 million of its pension plan obligations to the Insurer. The purchase of the group annuity contract was funded directly by assets of the pension plan of approximately $224.0 million. The purchase resulted in a transfer of benefit administrative responsibilities for more than 1,000 beneficiaries effective September 1, 2024.</w:t>
      </w:r>
    </w:p>
    <w:p>
      <w:pPr>
        <w:spacing w:after="0" w:line="163" w:lineRule="exact"/>
        <w:rPr>
          <w:sz w:val="20"/>
          <w:szCs w:val="20"/>
          <w:color w:val="auto"/>
        </w:rPr>
      </w:pPr>
    </w:p>
    <w:p>
      <w:pPr>
        <w:ind w:right="120" w:firstLine="191"/>
        <w:spacing w:after="0" w:line="261" w:lineRule="auto"/>
        <w:rPr>
          <w:sz w:val="20"/>
          <w:szCs w:val="20"/>
          <w:color w:val="auto"/>
        </w:rPr>
      </w:pPr>
      <w:r>
        <w:rPr>
          <w:rFonts w:ascii="Times New Roman" w:cs="Times New Roman" w:eastAsia="Times New Roman" w:hAnsi="Times New Roman"/>
          <w:sz w:val="16"/>
          <w:szCs w:val="16"/>
          <w:color w:val="auto"/>
        </w:rPr>
        <w:t xml:space="preserve">These events triggered a remeasurement that resulted in a decrease in the benefit obligation and a corresponding net actuarial gain of $16.6 million for both the three and six months ended June 30, 2024. The related income was included in </w:t>
      </w:r>
      <w:r>
        <w:rPr>
          <w:rFonts w:ascii="Times New Roman" w:cs="Times New Roman" w:eastAsia="Times New Roman" w:hAnsi="Times New Roman"/>
          <w:sz w:val="16"/>
          <w:szCs w:val="16"/>
          <w:i w:val="1"/>
          <w:iCs w:val="1"/>
          <w:color w:val="auto"/>
        </w:rPr>
        <w:t>Nonoperating Components of Net Periodic Benefit Loss (Income)</w:t>
      </w:r>
      <w:r>
        <w:rPr>
          <w:rFonts w:ascii="Times New Roman" w:cs="Times New Roman" w:eastAsia="Times New Roman" w:hAnsi="Times New Roman"/>
          <w:sz w:val="16"/>
          <w:szCs w:val="16"/>
          <w:color w:val="auto"/>
        </w:rPr>
        <w:t xml:space="preserve"> in the Consolidated Statements of Operations. There were no pension plan remeasurements in the three and six months ended June 30, 2025.</w:t>
      </w:r>
    </w:p>
    <w:p>
      <w:pPr>
        <w:spacing w:after="0" w:line="153" w:lineRule="exact"/>
        <w:rPr>
          <w:sz w:val="20"/>
          <w:szCs w:val="20"/>
          <w:color w:val="auto"/>
        </w:rPr>
      </w:pPr>
    </w:p>
    <w:p>
      <w:pPr>
        <w:ind w:right="100" w:firstLine="191"/>
        <w:spacing w:after="0" w:line="254" w:lineRule="auto"/>
        <w:rPr>
          <w:sz w:val="20"/>
          <w:szCs w:val="20"/>
          <w:color w:val="auto"/>
        </w:rPr>
      </w:pPr>
      <w:r>
        <w:rPr>
          <w:rFonts w:ascii="Times New Roman" w:cs="Times New Roman" w:eastAsia="Times New Roman" w:hAnsi="Times New Roman"/>
          <w:sz w:val="16"/>
          <w:szCs w:val="16"/>
          <w:color w:val="auto"/>
        </w:rPr>
        <w:t>Effective December 31, 2024, the Company merged its two qualified defined benefit pension plans in order to achieve financial and administrative efficiencies. Actuarial gains and losses of the merged plan will be amortized over the average remaining life expectancy of participants. The merger is not expected to result in any benefit reduction to participants in either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9. NET INCOME PER SHARE</w:t>
      </w:r>
    </w:p>
    <w:p>
      <w:pPr>
        <w:spacing w:after="0" w:line="200" w:lineRule="exact"/>
        <w:rPr>
          <w:sz w:val="20"/>
          <w:szCs w:val="20"/>
          <w:color w:val="auto"/>
        </w:rPr>
      </w:pPr>
    </w:p>
    <w:p>
      <w:pPr>
        <w:ind w:right="100" w:firstLine="191"/>
        <w:spacing w:after="0" w:line="247" w:lineRule="auto"/>
        <w:rPr>
          <w:sz w:val="20"/>
          <w:szCs w:val="20"/>
          <w:color w:val="auto"/>
        </w:rPr>
      </w:pPr>
      <w:r>
        <w:rPr>
          <w:rFonts w:ascii="Times New Roman" w:cs="Times New Roman" w:eastAsia="Times New Roman" w:hAnsi="Times New Roman"/>
          <w:sz w:val="16"/>
          <w:szCs w:val="16"/>
          <w:color w:val="auto"/>
        </w:rPr>
        <w:t>Basic net income per share is calculated by dividing net income allocable to common stockholders by the weighted average number of shares of common stock outstanding during the period. In calculating diluted net income per share, the number of shares is increased by the weighted average number of potential common shares related to stock compensation awards, including restricted stock units, restricted stock, and stock options and shares issuable under convertible notes. No dilutive effect is recognized in a period in which a net loss has occurred.</w:t>
      </w:r>
    </w:p>
    <w:p>
      <w:pPr>
        <w:spacing w:after="0" w:line="123" w:lineRule="exact"/>
        <w:rPr>
          <w:sz w:val="20"/>
          <w:szCs w:val="20"/>
          <w:color w:val="auto"/>
        </w:rPr>
      </w:pPr>
    </w:p>
    <w:p>
      <w:pPr>
        <w:jc w:val="both"/>
        <w:ind w:right="20" w:firstLine="191"/>
        <w:spacing w:after="0" w:line="254" w:lineRule="auto"/>
        <w:rPr>
          <w:sz w:val="20"/>
          <w:szCs w:val="20"/>
          <w:color w:val="auto"/>
        </w:rPr>
      </w:pPr>
      <w:r>
        <w:rPr>
          <w:rFonts w:ascii="Times New Roman" w:cs="Times New Roman" w:eastAsia="Times New Roman" w:hAnsi="Times New Roman"/>
          <w:sz w:val="16"/>
          <w:szCs w:val="16"/>
          <w:color w:val="auto"/>
        </w:rPr>
        <w:t>On November 7, 2024, Centrus issued $402.5 million aggregate principal amount 2.25% Convertible Notes due 2030. The dilutive impact of the 2.25% Convertible Notes on the calculation of diluted income per share is considered using the if-converted method. However, because the principal amount of the 2.25% Convertible Notes must be settled in cash, the dilutive impact of applying the if-converted method is limited to the in-the-money portion, if any, of the 2.25% Convertible Notes.</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weighted average number of common and common equivalent shares used in the calculation of basic and diluted net income per share are as follows:</w:t>
      </w:r>
    </w:p>
    <w:p>
      <w:pPr>
        <w:spacing w:after="0" w:line="163"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5980" w:type="dxa"/>
            <w:vAlign w:val="bottom"/>
          </w:tcPr>
          <w:p>
            <w:pPr>
              <w:spacing w:after="0"/>
              <w:rPr>
                <w:sz w:val="12"/>
                <w:szCs w:val="12"/>
                <w:color w:val="auto"/>
              </w:rPr>
            </w:pPr>
          </w:p>
        </w:tc>
        <w:tc>
          <w:tcPr>
            <w:tcW w:w="1960" w:type="dxa"/>
            <w:vAlign w:val="bottom"/>
            <w:gridSpan w:val="4"/>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4"/>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Numerator (in millions):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28.9</w:t>
            </w:r>
          </w:p>
        </w:tc>
        <w:tc>
          <w:tcPr>
            <w:tcW w:w="160" w:type="dxa"/>
            <w:vAlign w:val="bottom"/>
          </w:tcPr>
          <w:p>
            <w:pPr>
              <w:spacing w:after="0"/>
              <w:rPr>
                <w:sz w:val="15"/>
                <w:szCs w:val="15"/>
                <w:color w:val="auto"/>
              </w:rPr>
            </w:pPr>
          </w:p>
        </w:tc>
        <w:tc>
          <w:tcPr>
            <w:tcW w:w="68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30.6</w:t>
            </w:r>
          </w:p>
        </w:tc>
        <w:tc>
          <w:tcPr>
            <w:tcW w:w="240" w:type="dxa"/>
            <w:vAlign w:val="bottom"/>
          </w:tcPr>
          <w:p>
            <w:pPr>
              <w:spacing w:after="0"/>
              <w:rPr>
                <w:sz w:val="15"/>
                <w:szCs w:val="15"/>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56.1</w:t>
            </w:r>
          </w:p>
        </w:tc>
        <w:tc>
          <w:tcPr>
            <w:tcW w:w="14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24.5</w:t>
            </w:r>
          </w:p>
        </w:tc>
        <w:tc>
          <w:tcPr>
            <w:tcW w:w="0" w:type="dxa"/>
            <w:vAlign w:val="bottom"/>
          </w:tcPr>
          <w:p>
            <w:pPr>
              <w:spacing w:after="0"/>
              <w:rPr>
                <w:sz w:val="1"/>
                <w:szCs w:val="1"/>
                <w:color w:val="auto"/>
              </w:rPr>
            </w:pPr>
          </w:p>
        </w:tc>
      </w:tr>
      <w:tr>
        <w:trPr>
          <w:trHeight w:val="129"/>
        </w:trPr>
        <w:tc>
          <w:tcPr>
            <w:tcW w:w="59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Denominator (in thousands):</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Average common shares outstanding - basic</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17,703</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16,185</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17,344</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16,045</w:t>
            </w:r>
          </w:p>
        </w:tc>
        <w:tc>
          <w:tcPr>
            <w:tcW w:w="0" w:type="dxa"/>
            <w:vAlign w:val="bottom"/>
          </w:tcPr>
          <w:p>
            <w:pPr>
              <w:spacing w:after="0"/>
              <w:rPr>
                <w:sz w:val="1"/>
                <w:szCs w:val="1"/>
                <w:color w:val="auto"/>
              </w:rPr>
            </w:pPr>
          </w:p>
        </w:tc>
      </w:tr>
      <w:tr>
        <w:trPr>
          <w:trHeight w:val="177"/>
        </w:trPr>
        <w:tc>
          <w:tcPr>
            <w:tcW w:w="5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Potentially dilutive shares related to stock compensation awards</w:t>
            </w: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82"/>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Potentially dilutive shares related to 2.25% Convertible Notes</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2"/>
        </w:trPr>
        <w:tc>
          <w:tcPr>
            <w:tcW w:w="59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Average common shares outstanding - diluted</w:t>
            </w:r>
          </w:p>
        </w:tc>
        <w:tc>
          <w:tcPr>
            <w:tcW w:w="7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18,121</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16,226</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17,406</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16,125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9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per share (in dollars):</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Basic</w:t>
            </w:r>
          </w:p>
        </w:tc>
        <w:tc>
          <w:tcPr>
            <w:tcW w:w="7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77"/>
        </w:trPr>
        <w:tc>
          <w:tcPr>
            <w:tcW w:w="5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Diluted</w:t>
            </w:r>
          </w:p>
        </w:tc>
        <w:tc>
          <w:tcPr>
            <w:tcW w:w="700" w:type="dxa"/>
            <w:vAlign w:val="bottom"/>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60" w:type="dxa"/>
            <w:vAlign w:val="bottom"/>
          </w:tcPr>
          <w:p>
            <w:pPr>
              <w:spacing w:after="0"/>
              <w:rPr>
                <w:sz w:val="15"/>
                <w:szCs w:val="15"/>
                <w:color w:val="auto"/>
              </w:rPr>
            </w:pPr>
          </w:p>
        </w:tc>
        <w:tc>
          <w:tcPr>
            <w:tcW w:w="680" w:type="dxa"/>
            <w:vAlign w:val="bottom"/>
          </w:tcPr>
          <w:p>
            <w:pPr>
              <w:jc w:val="right"/>
              <w:ind w:right="53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40" w:type="dxa"/>
            <w:vAlign w:val="bottom"/>
          </w:tcPr>
          <w:p>
            <w:pPr>
              <w:spacing w:after="0"/>
              <w:rPr>
                <w:sz w:val="15"/>
                <w:szCs w:val="15"/>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4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31"/>
        </w:trPr>
        <w:tc>
          <w:tcPr>
            <w:tcW w:w="59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Common stock equivalents excluded from the diluted calculation because they would have been antidilutive</w:t>
            </w:r>
          </w:p>
        </w:tc>
        <w:tc>
          <w:tcPr>
            <w:tcW w:w="70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4"/>
        </w:trPr>
        <w:tc>
          <w:tcPr>
            <w:tcW w:w="5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 thousands)</w:t>
            </w:r>
          </w:p>
        </w:tc>
        <w:tc>
          <w:tcPr>
            <w:tcW w:w="7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10. STOCKHOLDERS’ EQUITY</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2023 Shelf Registration</w:t>
      </w:r>
    </w:p>
    <w:p>
      <w:pPr>
        <w:spacing w:after="0" w:line="189" w:lineRule="exact"/>
        <w:rPr>
          <w:sz w:val="20"/>
          <w:szCs w:val="20"/>
          <w:color w:val="auto"/>
        </w:rPr>
      </w:pPr>
    </w:p>
    <w:p>
      <w:pPr>
        <w:jc w:val="both"/>
        <w:ind w:right="80" w:firstLine="191"/>
        <w:spacing w:after="0" w:line="254" w:lineRule="auto"/>
        <w:rPr>
          <w:sz w:val="20"/>
          <w:szCs w:val="20"/>
          <w:color w:val="auto"/>
        </w:rPr>
      </w:pPr>
      <w:r>
        <w:rPr>
          <w:rFonts w:ascii="Times New Roman" w:cs="Times New Roman" w:eastAsia="Times New Roman" w:hAnsi="Times New Roman"/>
          <w:sz w:val="16"/>
          <w:szCs w:val="16"/>
          <w:color w:val="auto"/>
        </w:rPr>
        <w:t>The Company filed a shelf registration statement on Form S-3 (File No. 333-272984) with the SEC on June 28, 2023, which became effective on July 10, 2023. Pursuant to this shelf registration statement, the Company may offer and sell up to $200.0 million in securities, in aggregate. The Company retains broad discretion over the use of the net proceeds from the sale of the securities offered.</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Common Stock Issuance</w:t>
      </w:r>
    </w:p>
    <w:p>
      <w:pPr>
        <w:spacing w:after="0" w:line="200"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1,157,727 and 1,415,924 shares of its Class A Common Stock at the market price in the three and six months ended June 30, 2025, respectively, for a total of $117.1 million and $143.2 million, respectively. After expenses and commissions paid to the Agents, the Company’s proceeds totaled $114.7 million and $140.1 million in the three and six months ended June 30, 2025, respectively. Additionally, the Company recorded direct costs of $0.5 million and $0.6 million in the three and six months ended June 30, 2025, respectively, related to the issuance. The shares of Class A Common Stock were issued pursuant to the Company’s shelf registration statement on Form S-3 (File No. 333-272984), which became effective on July 10, 2023, and two prospectus supplements dated February 9, 2024 and May 9, 2025, respectively. As of June 30, 2025, the ATM offering was completed.</w:t>
      </w:r>
    </w:p>
    <w:p>
      <w:pPr>
        <w:spacing w:after="0" w:line="168" w:lineRule="exact"/>
        <w:rPr>
          <w:sz w:val="20"/>
          <w:szCs w:val="20"/>
          <w:color w:val="auto"/>
        </w:rPr>
      </w:pPr>
    </w:p>
    <w:p>
      <w:pPr>
        <w:ind w:right="80" w:firstLine="191"/>
        <w:spacing w:after="0" w:line="251" w:lineRule="auto"/>
        <w:rPr>
          <w:sz w:val="20"/>
          <w:szCs w:val="20"/>
          <w:color w:val="auto"/>
        </w:rPr>
      </w:pPr>
      <w:r>
        <w:rPr>
          <w:rFonts w:ascii="Times New Roman" w:cs="Times New Roman" w:eastAsia="Times New Roman" w:hAnsi="Times New Roman"/>
          <w:sz w:val="16"/>
          <w:szCs w:val="16"/>
          <w:color w:val="auto"/>
        </w:rPr>
        <w:t>The Company sold an aggregate of 275,202 and 451,830 shares of its Class A Common Stock at the market price in the three and six months ended June 30, 2024, respectively, for a total of $12.5 million and $19.9 million, respectively. After expenses and commissions paid to the Agents, the Company’s proceeds totaled $12.2 million and $19.3 million in the three and six months ended June 30, 2024, respectively. Additionally, the Company recorded direct costs of less than $0.1 million in both the three and six months ended June 30, 2024, related to the issuance. The shares of Class A Common Stock were issued pursuant to the Company’s shelf registration statement on Form S-3 (File No. 333-272984), which became effective on July 10, 2023, and a prospectus supplement dated February 9, 2024.</w:t>
      </w:r>
    </w:p>
    <w:p>
      <w:pPr>
        <w:spacing w:after="0" w:line="163"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working capital,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26" w:name="page27"/>
    <w:bookmarkEnd w:id="26"/>
    <w:p>
      <w:pPr>
        <w:ind w:left="200"/>
        <w:spacing w:after="0"/>
        <w:rPr>
          <w:sz w:val="20"/>
          <w:szCs w:val="20"/>
          <w:color w:val="auto"/>
        </w:rPr>
      </w:pPr>
      <w:r>
        <w:rPr>
          <w:rFonts w:ascii="Times New Roman" w:cs="Times New Roman" w:eastAsia="Times New Roman" w:hAnsi="Times New Roman"/>
          <w:sz w:val="16"/>
          <w:szCs w:val="16"/>
          <w:i w:val="1"/>
          <w:iCs w:val="1"/>
          <w:color w:val="auto"/>
        </w:rPr>
        <w:t>Rights Agreement</w:t>
      </w:r>
    </w:p>
    <w:p>
      <w:pPr>
        <w:spacing w:after="0" w:line="200"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May 28, 2024, the Company entered into a Sixth Amendment to the Section 382 Rights Agreement (the “Rights Agreement”), which amends the Rights Agreement, dated as of April 6, 2016,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spacing w:after="0" w:line="174"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spacing w:after="0" w:line="159" w:lineRule="exact"/>
        <w:rPr>
          <w:sz w:val="20"/>
          <w:szCs w:val="20"/>
          <w:color w:val="auto"/>
        </w:rPr>
      </w:pPr>
    </w:p>
    <w:p>
      <w:pPr>
        <w:ind w:right="100" w:firstLine="191"/>
        <w:spacing w:after="0" w:line="273" w:lineRule="auto"/>
        <w:rPr>
          <w:sz w:val="20"/>
          <w:szCs w:val="20"/>
          <w:color w:val="auto"/>
        </w:rPr>
      </w:pPr>
      <w:r>
        <w:rPr>
          <w:rFonts w:ascii="Times New Roman" w:cs="Times New Roman" w:eastAsia="Times New Roman" w:hAnsi="Times New Roman"/>
          <w:sz w:val="16"/>
          <w:szCs w:val="16"/>
          <w:color w:val="auto"/>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spacing w:after="0" w:line="154" w:lineRule="exact"/>
        <w:rPr>
          <w:sz w:val="20"/>
          <w:szCs w:val="20"/>
          <w:color w:val="auto"/>
        </w:rPr>
      </w:pPr>
    </w:p>
    <w:p>
      <w:pPr>
        <w:ind w:right="300" w:firstLine="191"/>
        <w:spacing w:after="0" w:line="259" w:lineRule="auto"/>
        <w:rPr>
          <w:sz w:val="20"/>
          <w:szCs w:val="20"/>
          <w:color w:val="auto"/>
        </w:rPr>
      </w:pPr>
      <w:r>
        <w:rPr>
          <w:rFonts w:ascii="Times New Roman" w:cs="Times New Roman" w:eastAsia="Times New Roman" w:hAnsi="Times New Roman"/>
          <w:sz w:val="16"/>
          <w:szCs w:val="16"/>
          <w:color w:val="auto"/>
        </w:rPr>
        <w:t>The Sixth Amendment was approved by the Board on May 28, 2024, and made clarifying changes relating to the definition of “Beneficial Owner”, “beneficially owned” and “Beneficial Ownership” contained in the Rights Agreement.</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Awards under Executive Incentive Plan</w:t>
      </w:r>
    </w:p>
    <w:p>
      <w:pPr>
        <w:spacing w:after="0" w:line="200" w:lineRule="exact"/>
        <w:rPr>
          <w:sz w:val="20"/>
          <w:szCs w:val="20"/>
          <w:color w:val="auto"/>
        </w:rPr>
      </w:pPr>
    </w:p>
    <w:p>
      <w:pPr>
        <w:ind w:right="120" w:firstLine="191"/>
        <w:spacing w:after="0" w:line="273" w:lineRule="auto"/>
        <w:rPr>
          <w:sz w:val="20"/>
          <w:szCs w:val="20"/>
          <w:color w:val="auto"/>
        </w:rPr>
      </w:pPr>
      <w:r>
        <w:rPr>
          <w:rFonts w:ascii="Times New Roman" w:cs="Times New Roman" w:eastAsia="Times New Roman" w:hAnsi="Times New Roman"/>
          <w:sz w:val="16"/>
          <w:szCs w:val="16"/>
          <w:color w:val="auto"/>
        </w:rPr>
        <w:t>Under the Company’s 2019 Equity Incentive Plan, participating employees are eligible to receive grants of equity awards such as restricted stock, restricted stock units, notional stock units and SARs, and other stock-based awards.</w:t>
      </w:r>
    </w:p>
    <w:p>
      <w:pPr>
        <w:spacing w:after="0" w:line="144"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 xml:space="preserve">In March 2022, 2023, and 2024 and in February 2025, restricted stock units were granted to participating executives with a vesting period ending in March 2025, 2026, 2027, and 2028, respectively. The restricted stock unit awards are time based and payable in shares of the Company’s Class A Common Stock subject to the Company achieving a threshold level of cumulative net income over the respective vesting period. The grant-date fair value is included in </w:t>
      </w:r>
      <w:r>
        <w:rPr>
          <w:rFonts w:ascii="Times New Roman" w:cs="Times New Roman" w:eastAsia="Times New Roman" w:hAnsi="Times New Roman"/>
          <w:sz w:val="16"/>
          <w:szCs w:val="16"/>
          <w:i w:val="1"/>
          <w:iCs w:val="1"/>
          <w:color w:val="auto"/>
        </w:rPr>
        <w:t>Excess of Capital Over Par Value</w:t>
      </w:r>
      <w:r>
        <w:rPr>
          <w:rFonts w:ascii="Times New Roman" w:cs="Times New Roman" w:eastAsia="Times New Roman" w:hAnsi="Times New Roman"/>
          <w:sz w:val="16"/>
          <w:szCs w:val="16"/>
          <w:color w:val="auto"/>
        </w:rPr>
        <w:t xml:space="preserve"> as the value is amortized over the vesting period.</w:t>
      </w:r>
    </w:p>
    <w:p>
      <w:pPr>
        <w:spacing w:after="0" w:line="161" w:lineRule="exact"/>
        <w:rPr>
          <w:sz w:val="20"/>
          <w:szCs w:val="20"/>
          <w:color w:val="auto"/>
        </w:rPr>
      </w:pPr>
    </w:p>
    <w:p>
      <w:pPr>
        <w:ind w:right="60" w:firstLine="191"/>
        <w:spacing w:after="0" w:line="273" w:lineRule="auto"/>
        <w:rPr>
          <w:sz w:val="20"/>
          <w:szCs w:val="20"/>
          <w:color w:val="auto"/>
        </w:rPr>
      </w:pPr>
      <w:r>
        <w:rPr>
          <w:rFonts w:ascii="Times New Roman" w:cs="Times New Roman" w:eastAsia="Times New Roman" w:hAnsi="Times New Roman"/>
          <w:sz w:val="16"/>
          <w:szCs w:val="16"/>
          <w:color w:val="auto"/>
        </w:rPr>
        <w:t>The Class A Common Stock issued for the 2021-2023 performance period were issued in March 2024. The Company withheld $0.1 million of shares to fund the tax withholding obligations of the share recipients under the terms of the stock-based compensation plan.</w:t>
      </w:r>
    </w:p>
    <w:p>
      <w:pPr>
        <w:spacing w:after="0" w:line="154" w:lineRule="exact"/>
        <w:rPr>
          <w:sz w:val="20"/>
          <w:szCs w:val="20"/>
          <w:color w:val="auto"/>
        </w:rPr>
      </w:pPr>
    </w:p>
    <w:p>
      <w:pPr>
        <w:ind w:right="60" w:firstLine="191"/>
        <w:spacing w:after="0" w:line="259" w:lineRule="auto"/>
        <w:rPr>
          <w:sz w:val="20"/>
          <w:szCs w:val="20"/>
          <w:color w:val="auto"/>
        </w:rPr>
      </w:pPr>
      <w:r>
        <w:rPr>
          <w:rFonts w:ascii="Times New Roman" w:cs="Times New Roman" w:eastAsia="Times New Roman" w:hAnsi="Times New Roman"/>
          <w:sz w:val="16"/>
          <w:szCs w:val="16"/>
          <w:color w:val="auto"/>
        </w:rPr>
        <w:t>The Class A Common Stock issued for the 2022-2024 performance period were issued in March 2025. The Company withheld $0.3 million of shares to fund the tax withholding obligations of the share recipients under the terms of the stock-based compensation plan.</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Board Restricted Stock Units</w:t>
      </w:r>
    </w:p>
    <w:p>
      <w:pPr>
        <w:spacing w:after="0" w:line="189" w:lineRule="exact"/>
        <w:rPr>
          <w:sz w:val="20"/>
          <w:szCs w:val="20"/>
          <w:color w:val="auto"/>
        </w:rPr>
      </w:pPr>
    </w:p>
    <w:p>
      <w:pPr>
        <w:ind w:right="160" w:firstLine="191"/>
        <w:spacing w:after="0" w:line="261" w:lineRule="auto"/>
        <w:rPr>
          <w:sz w:val="20"/>
          <w:szCs w:val="20"/>
          <w:color w:val="auto"/>
        </w:rPr>
      </w:pPr>
      <w:r>
        <w:rPr>
          <w:rFonts w:ascii="Times New Roman" w:cs="Times New Roman" w:eastAsia="Times New Roman" w:hAnsi="Times New Roman"/>
          <w:sz w:val="16"/>
          <w:szCs w:val="16"/>
          <w:color w:val="auto"/>
        </w:rPr>
        <w:t>In the three months ended June 30, 2025, the Compensation, Nominating and Governance Committee of the Board of Directors approved a resolution primarily related to the 2024 RSU grants to withhold shares to fund the grantees’ income tax liabilities beyond the Company’s legal requirement. The resolution resulted in reclassification of these grants from equity to liability, $3.6 million of selling, general, and administrative expenses, and cash payments of $2.2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27" w:name="page28"/>
    <w:bookmarkEnd w:id="27"/>
    <w:p>
      <w:pPr>
        <w:jc w:val="both"/>
        <w:ind w:right="8020" w:firstLine="5"/>
        <w:spacing w:after="0" w:line="561" w:lineRule="auto"/>
        <w:tabs>
          <w:tab w:leader="none" w:pos="225"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Commitments under SWU Purchase Agreements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TENEX</w:t>
      </w:r>
    </w:p>
    <w:p>
      <w:pPr>
        <w:spacing w:after="0" w:line="200" w:lineRule="exact"/>
        <w:rPr>
          <w:sz w:val="20"/>
          <w:szCs w:val="20"/>
          <w:color w:val="auto"/>
        </w:rPr>
      </w:pPr>
    </w:p>
    <w:p>
      <w:pPr>
        <w:ind w:right="80" w:firstLine="191"/>
        <w:spacing w:after="0" w:line="248" w:lineRule="auto"/>
        <w:rPr>
          <w:sz w:val="20"/>
          <w:szCs w:val="20"/>
          <w:color w:val="auto"/>
        </w:rPr>
      </w:pPr>
      <w:r>
        <w:rPr>
          <w:rFonts w:ascii="Times New Roman" w:cs="Times New Roman" w:eastAsia="Times New Roman" w:hAnsi="Times New Roman"/>
          <w:sz w:val="16"/>
          <w:szCs w:val="16"/>
          <w:color w:val="auto"/>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have been or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spacing w:after="0" w:line="164" w:lineRule="exact"/>
        <w:rPr>
          <w:sz w:val="20"/>
          <w:szCs w:val="20"/>
          <w:color w:val="auto"/>
        </w:rPr>
      </w:pPr>
    </w:p>
    <w:p>
      <w:pPr>
        <w:ind w:right="180" w:firstLine="191"/>
        <w:spacing w:after="0" w:line="315" w:lineRule="auto"/>
        <w:rPr>
          <w:sz w:val="20"/>
          <w:szCs w:val="20"/>
          <w:color w:val="auto"/>
        </w:rPr>
      </w:pPr>
      <w:r>
        <w:rPr>
          <w:rFonts w:ascii="Times New Roman" w:cs="Times New Roman" w:eastAsia="Times New Roman" w:hAnsi="Times New Roman"/>
          <w:sz w:val="14"/>
          <w:szCs w:val="14"/>
          <w:color w:val="auto"/>
        </w:rPr>
        <w:t>The TENEX Supply Contract originally was signed with commitments through 2022, but was modified in 2015 to give the Company the right to reschedule certain original commitments of SWU quantities into the period 2023 and beyond, in return for the purchase of additional SWU quantities in those years. The Company has exercised this right to reschedule SWU quantities in each year through December 31, 2024. As a result of exercising this right, the Company has purchase commitments that could extend to 2028.</w:t>
      </w:r>
    </w:p>
    <w:p>
      <w:pPr>
        <w:spacing w:after="0" w:line="119" w:lineRule="exact"/>
        <w:rPr>
          <w:sz w:val="20"/>
          <w:szCs w:val="20"/>
          <w:color w:val="auto"/>
        </w:rPr>
      </w:pPr>
    </w:p>
    <w:p>
      <w:pPr>
        <w:ind w:right="120" w:firstLine="191"/>
        <w:spacing w:after="0" w:line="273" w:lineRule="auto"/>
        <w:rPr>
          <w:sz w:val="20"/>
          <w:szCs w:val="20"/>
          <w:color w:val="auto"/>
        </w:rPr>
      </w:pPr>
      <w:r>
        <w:rPr>
          <w:rFonts w:ascii="Times New Roman" w:cs="Times New Roman" w:eastAsia="Times New Roman" w:hAnsi="Times New Roman"/>
          <w:sz w:val="16"/>
          <w:szCs w:val="16"/>
          <w:color w:val="auto"/>
        </w:rPr>
        <w:t>The TENEX Supply Contract provides that the Company must pay for all SWU in its minimum purchase obligation each year, even if it fails to submit orders for such SWU. In such a case, the Company would pay for the SWU, but have to take the unordered SWU in the following year.</w:t>
      </w:r>
    </w:p>
    <w:p>
      <w:pPr>
        <w:spacing w:after="0" w:line="144"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Pricing terms for SWU under the TENEX Supply Contract are based on a combination of market-related price points and other factors. This formula was subject to an adjustment at the end of 2018 that reduced the unit costs of SWU under this contract in 2019 and for the duration of the contract.</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Orano</w:t>
      </w:r>
    </w:p>
    <w:p>
      <w:pPr>
        <w:spacing w:after="0" w:line="189" w:lineRule="exact"/>
        <w:rPr>
          <w:sz w:val="20"/>
          <w:szCs w:val="20"/>
          <w:color w:val="auto"/>
        </w:rPr>
      </w:pPr>
    </w:p>
    <w:p>
      <w:pPr>
        <w:ind w:right="280" w:firstLine="191"/>
        <w:spacing w:after="0" w:line="248" w:lineRule="auto"/>
        <w:rPr>
          <w:sz w:val="20"/>
          <w:szCs w:val="20"/>
          <w:color w:val="auto"/>
        </w:rPr>
      </w:pPr>
      <w:r>
        <w:rPr>
          <w:rFonts w:ascii="Times New Roman" w:cs="Times New Roman" w:eastAsia="Times New Roman" w:hAnsi="Times New Roman"/>
          <w:sz w:val="16"/>
          <w:szCs w:val="16"/>
          <w:color w:val="auto"/>
        </w:rPr>
        <w:t>In 2018, the Company entered into the Orano Supply Agreement with a French state-owned company, Orano Cycle, for the long-term supply of SWU contained in LEU. The Orano Supply Agreement subsequently was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Milestones Under the 2002 DOE-USEC Agreement</w:t>
      </w:r>
    </w:p>
    <w:p>
      <w:pPr>
        <w:spacing w:after="0" w:line="200" w:lineRule="exact"/>
        <w:rPr>
          <w:sz w:val="20"/>
          <w:szCs w:val="20"/>
          <w:color w:val="auto"/>
        </w:rPr>
      </w:pPr>
    </w:p>
    <w:p>
      <w:pPr>
        <w:ind w:right="100" w:firstLine="191"/>
        <w:spacing w:after="0" w:line="285" w:lineRule="auto"/>
        <w:rPr>
          <w:sz w:val="20"/>
          <w:szCs w:val="20"/>
          <w:color w:val="auto"/>
        </w:rPr>
      </w:pPr>
      <w:r>
        <w:rPr>
          <w:rFonts w:ascii="Times New Roman" w:cs="Times New Roman" w:eastAsia="Times New Roman" w:hAnsi="Times New Roman"/>
          <w:sz w:val="14"/>
          <w:szCs w:val="14"/>
          <w:color w:val="auto"/>
        </w:rPr>
        <w:t>The Company’s predecessor, USEC Inc., and DOE signed the 2002 DOE-USEC Agreement dated June 17, 2002, pursuant to which the parties made long-term commitments directed at resolving issues related to the stability and security of the domestic uranium enrichment industry. This agreement requires Centrus to develop, demonstrate and deploy advanced enrichment technology in accordance with milestones, including the deployment of a commercial American Centrifuge Plant, and provides for remedies in the event of a failure to meet a milestone under certain circumstances, including terminating the agreement, revoking Centrus’ access to DOE’s centrifuge technology that is required for the success of the Company’s ongoing work with the American Centrifuge technology, requiring Centrus to transfer certain rights in the American Centrifuge technology and facilities to DOE, and requiring Centrus to reimburse DOE for certain costs associated with the American Centrifuge technology. The agreement provides further that if a delaying event beyond the control and without the fault or negligence of Centrus occurs that could affect Centrus’ ability to meet the American Centrifuge Plant milestones under the agreement, DOE and the Company will jointly meet to discuss in good faith possible adjustments to the milestones as appropriate to accommodate the delaying event. In 2014, the 2002 DOE-USEC Agreement and other agreements between the Company and DOE were assumed by Centrus subject to an express reservation of all rights, remedies and defenses by DOE and the Company under those agreements.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From time to time, the Company is involved in various pending legal proceedings, including the pending legal proceedings described below.</w:t>
      </w:r>
    </w:p>
    <w:p>
      <w:pPr>
        <w:spacing w:after="0" w:line="187"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In 1993, USEC-Government entered into a lease for the Paducah and Portsmouth GDPs with the DOE. As part of that lease, DOE and USEC-Government also entered into a memorandum of understanding (“Power MOU”) regarding power purchase agreements between DOE and the providers of power to the GDPs. Under the Power MOU,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DOE. The Paducah GDP was shut down in 2013 and deleased by Enrichment Corp. in 2014. On August 4, 2021, DOE informally informed Enrichment Corp. that the Joppa Power Plant, which had supplied power to the Paducah GDP, was planned to undergo D&amp;D. According to DOE, the power purchase agreement with Electric Energy Inc. requires DOE to pay for a portion of the D&amp;D costs of the Joppa Power Plant, and DOE has asserted that a portion of DOE’s liability is the responsibility of Enrichment Corp. under the Power MOU in the amount of approximately $9.6 million. The Company is assessing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9" w:name="page30"/>
    <w:bookmarkEnd w:id="29"/>
    <w:p>
      <w:pPr>
        <w:ind w:right="40" w:firstLine="191"/>
        <w:spacing w:after="0" w:line="282" w:lineRule="auto"/>
        <w:rPr>
          <w:sz w:val="20"/>
          <w:szCs w:val="20"/>
          <w:color w:val="auto"/>
        </w:rPr>
      </w:pPr>
      <w:r>
        <w:rPr>
          <w:rFonts w:ascii="Times New Roman" w:cs="Times New Roman" w:eastAsia="Times New Roman" w:hAnsi="Times New Roman"/>
          <w:sz w:val="14"/>
          <w:szCs w:val="14"/>
          <w:color w:val="auto"/>
        </w:rPr>
        <w:t>On May 26, 2019, the Company, Enrichment Corp., and six other DOE contractors who have operated facilities at the Portsmouth GDP (including, in the case of the Company, the American Centrifuge Plant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 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spacing w:after="0" w:line="344" w:lineRule="exact"/>
        <w:rPr>
          <w:sz w:val="20"/>
          <w:szCs w:val="20"/>
          <w:color w:val="auto"/>
        </w:rPr>
      </w:pPr>
    </w:p>
    <w:p>
      <w:pPr>
        <w:ind w:right="40" w:firstLine="191"/>
        <w:spacing w:after="0" w:line="287" w:lineRule="auto"/>
        <w:rPr>
          <w:sz w:val="20"/>
          <w:szCs w:val="20"/>
          <w:color w:val="auto"/>
        </w:rPr>
      </w:pPr>
      <w:r>
        <w:rPr>
          <w:rFonts w:ascii="Times New Roman" w:cs="Times New Roman" w:eastAsia="Times New Roman" w:hAnsi="Times New Roman"/>
          <w:sz w:val="14"/>
          <w:szCs w:val="14"/>
          <w:color w:val="auto"/>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(the “Lykins Complaint”). In March 2021, Brayden Lykins, who was thirteen years old, passed away from leukemia. The complaint alleges that the defendants released radiation into the environment in violation of the Price-Anderson Act causing Lykins’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DOE required to invoke indemnification under the Price-Anderson Act and other contractual provisions.</w:t>
      </w:r>
    </w:p>
    <w:p>
      <w:pPr>
        <w:spacing w:after="0" w:line="148" w:lineRule="exact"/>
        <w:rPr>
          <w:sz w:val="20"/>
          <w:szCs w:val="20"/>
          <w:color w:val="auto"/>
        </w:rPr>
      </w:pPr>
    </w:p>
    <w:p>
      <w:pPr>
        <w:ind w:firstLine="191"/>
        <w:spacing w:after="0" w:line="286" w:lineRule="auto"/>
        <w:rPr>
          <w:sz w:val="20"/>
          <w:szCs w:val="20"/>
          <w:color w:val="auto"/>
        </w:rPr>
      </w:pPr>
      <w:r>
        <w:rPr>
          <w:rFonts w:ascii="Times New Roman" w:cs="Times New Roman" w:eastAsia="Times New Roman" w:hAnsi="Times New Roman"/>
          <w:sz w:val="14"/>
          <w:szCs w:val="14"/>
          <w:color w:val="auto"/>
        </w:rPr>
        <w:t>On March 8, 2023, the Company, Enrichment Corp., and six other DOE contractors that operated facilities at the Portsmouth GDP were named as defendants in a complaint filed by Christian Rose in the U.S. District Court in the Southern District of Ohio, Eastern Division (the “Rose Complaint”). Christian Rose was diagnosed with cancer in June 2022. Although Mr. Rose is an adult, he attended the Zahn’s Corner Middle School, which was closed a few years ago due to contamination and is in the vicinity of the plant. 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30" w:name="page31"/>
    <w:bookmarkEnd w:id="30"/>
    <w:p>
      <w:pPr>
        <w:ind w:firstLine="191"/>
        <w:spacing w:after="0" w:line="246" w:lineRule="auto"/>
        <w:rPr>
          <w:sz w:val="20"/>
          <w:szCs w:val="20"/>
          <w:color w:val="auto"/>
        </w:rPr>
      </w:pPr>
      <w:r>
        <w:rPr>
          <w:rFonts w:ascii="Times New Roman" w:cs="Times New Roman" w:eastAsia="Times New Roman" w:hAnsi="Times New Roman"/>
          <w:sz w:val="16"/>
          <w:szCs w:val="16"/>
          <w:color w:val="auto"/>
        </w:rPr>
        <w:t>On November 27, 2023, the Company, Enrichment Corp. and six other DOE contractors who operated facilities at the Portsmouth GDP were named as defendants in a complaint filed by Joshua Shaw in the U.S. District Court in the Southern District of Ohio, Eastern Division (the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the nature of past and future medical expenses for treatment and care, pain and suffering and punitive damages, among others. On February 26, 2024, the Company, Enrichment Corp. and the other defendants filed their motion to dismiss the Shaw Complaint, which was thereafter amended on March 14, 2024. On March 28, 2024, the Company, Enrichment Corp. and the other defendants filed their motion to dismiss the amended Shaw Complaint, and, on May 31, 2024 filed their reply to support their motion to dismiss the amended Shaw Complaint. On March 31, 2025, the Court did not grant the Company’s motion to dismiss the Complaint for being time-barred. On April 14, 2025, the Company, Enrichment Corp., and the other defendants filed their answer to the amended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167"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consolidated financial condition.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SEGMENT INFORMATION</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Gross profit is the Company’s measure for segment reporting. There were no intersegment sales in the periods presented. Refer to Note 2</w:t>
      </w:r>
      <w:r>
        <w:rPr>
          <w:rFonts w:ascii="Times New Roman" w:cs="Times New Roman" w:eastAsia="Times New Roman" w:hAnsi="Times New Roman"/>
          <w:sz w:val="16"/>
          <w:szCs w:val="16"/>
          <w:i w:val="1"/>
          <w:iCs w:val="1"/>
          <w:color w:val="auto"/>
        </w:rPr>
        <w:t>, Revenue and Contracts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Customers, </w:t>
      </w:r>
      <w:r>
        <w:rPr>
          <w:rFonts w:ascii="Times New Roman" w:cs="Times New Roman" w:eastAsia="Times New Roman" w:hAnsi="Times New Roman"/>
          <w:sz w:val="16"/>
          <w:szCs w:val="16"/>
          <w:color w:val="auto"/>
        </w:rPr>
        <w:t>for additional details on revenue for each segment. The following table presents the Company’s segment information (in millions):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820" w:type="dxa"/>
            <w:vAlign w:val="bottom"/>
          </w:tcPr>
          <w:p>
            <w:pPr>
              <w:spacing w:after="0"/>
              <w:rPr>
                <w:sz w:val="12"/>
                <w:szCs w:val="12"/>
                <w:color w:val="auto"/>
              </w:rPr>
            </w:pPr>
          </w:p>
        </w:tc>
      </w:tr>
      <w:tr>
        <w:trPr>
          <w:trHeight w:val="179"/>
        </w:trPr>
        <w:tc>
          <w:tcPr>
            <w:tcW w:w="5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20" w:type="dxa"/>
            <w:vAlign w:val="bottom"/>
            <w:tcBorders>
              <w:bottom w:val="single" w:sz="8" w:color="auto"/>
            </w:tcBorders>
          </w:tcPr>
          <w:p>
            <w:pPr>
              <w:spacing w:after="0"/>
              <w:rPr>
                <w:sz w:val="15"/>
                <w:szCs w:val="15"/>
                <w:color w:val="auto"/>
              </w:rPr>
            </w:pPr>
          </w:p>
        </w:tc>
      </w:tr>
      <w:tr>
        <w:trPr>
          <w:trHeight w:val="170"/>
        </w:trPr>
        <w:tc>
          <w:tcPr>
            <w:tcW w:w="5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LEU segment: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7"/>
        </w:trPr>
        <w:tc>
          <w:tcPr>
            <w:tcW w:w="5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Separative work units</w:t>
            </w: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160" w:type="dxa"/>
            <w:vAlign w:val="bottom"/>
          </w:tcPr>
          <w:p>
            <w:pPr>
              <w:spacing w:after="0"/>
              <w:rPr>
                <w:sz w:val="15"/>
                <w:szCs w:val="15"/>
                <w:color w:val="auto"/>
              </w:rPr>
            </w:pPr>
          </w:p>
        </w:tc>
        <w:tc>
          <w:tcPr>
            <w:tcW w:w="5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8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160" w:type="dxa"/>
            <w:vAlign w:val="bottom"/>
          </w:tcPr>
          <w:p>
            <w:pPr>
              <w:spacing w:after="0"/>
              <w:rPr>
                <w:sz w:val="15"/>
                <w:szCs w:val="15"/>
                <w:color w:val="auto"/>
              </w:rPr>
            </w:pPr>
          </w:p>
        </w:tc>
        <w:tc>
          <w:tcPr>
            <w:tcW w:w="4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w:t>
            </w:r>
          </w:p>
        </w:tc>
      </w:tr>
      <w:tr>
        <w:trPr>
          <w:trHeight w:val="18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Uranium</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79"/>
        </w:trPr>
        <w:tc>
          <w:tcPr>
            <w:tcW w:w="5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Intersegment revenue, eliminated on consolidation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5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131.8</w:t>
            </w:r>
          </w:p>
        </w:tc>
        <w:tc>
          <w:tcPr>
            <w:tcW w:w="1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183.1</w:t>
            </w: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193.2</w:t>
            </w:r>
          </w:p>
        </w:tc>
      </w:tr>
      <w:tr>
        <w:trPr>
          <w:trHeight w:val="177"/>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r>
      <w:tr>
        <w:trPr>
          <w:trHeight w:val="17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160.6</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233.7</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232.7</w:t>
            </w:r>
          </w:p>
        </w:tc>
      </w:tr>
      <w:tr>
        <w:trPr>
          <w:trHeight w:val="179"/>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 of intersegment revenue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52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227.6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232.7</w:t>
            </w:r>
          </w:p>
        </w:tc>
      </w:tr>
      <w:tr>
        <w:trPr>
          <w:trHeight w:val="28"/>
        </w:trPr>
        <w:tc>
          <w:tcPr>
            <w:tcW w:w="528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0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520" w:type="dxa"/>
            <w:vAlign w:val="bottom"/>
            <w:tcBorders>
              <w:top w:val="single" w:sz="8" w:color="CCEEFF"/>
              <w:bottom w:val="single" w:sz="8" w:color="auto"/>
            </w:tcBorders>
          </w:tcPr>
          <w:p>
            <w:pPr>
              <w:spacing w:after="0"/>
              <w:rPr>
                <w:sz w:val="2"/>
                <w:szCs w:val="2"/>
                <w:color w:val="auto"/>
              </w:rPr>
            </w:pPr>
          </w:p>
        </w:tc>
        <w:tc>
          <w:tcPr>
            <w:tcW w:w="78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0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480" w:type="dxa"/>
            <w:vAlign w:val="bottom"/>
            <w:tcBorders>
              <w:top w:val="single" w:sz="8" w:color="CCEEFF"/>
              <w:bottom w:val="single" w:sz="8" w:color="auto"/>
            </w:tcBorders>
          </w:tcPr>
          <w:p>
            <w:pPr>
              <w:spacing w:after="0"/>
              <w:rPr>
                <w:sz w:val="2"/>
                <w:szCs w:val="2"/>
                <w:color w:val="auto"/>
              </w:rPr>
            </w:pPr>
          </w:p>
        </w:tc>
        <w:tc>
          <w:tcPr>
            <w:tcW w:w="820" w:type="dxa"/>
            <w:vAlign w:val="bottom"/>
            <w:tcBorders>
              <w:top w:val="single" w:sz="8" w:color="CCEEFF"/>
              <w:bottom w:val="single" w:sz="8" w:color="auto"/>
            </w:tcBorders>
          </w:tcPr>
          <w:p>
            <w:pPr>
              <w:spacing w:after="0"/>
              <w:rPr>
                <w:sz w:val="2"/>
                <w:szCs w:val="2"/>
                <w:color w:val="auto"/>
              </w:rPr>
            </w:pPr>
          </w:p>
        </w:tc>
      </w:tr>
      <w:tr>
        <w:trPr>
          <w:trHeight w:val="18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Cost of Sales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LEU segment: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Separative work units and uranium</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159.7</w:t>
            </w:r>
          </w:p>
        </w:tc>
      </w:tr>
      <w:tr>
        <w:trPr>
          <w:trHeight w:val="177"/>
        </w:trPr>
        <w:tc>
          <w:tcPr>
            <w:tcW w:w="5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Intersegment cost of sales, eliminated on consolidation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79.3</w:t>
            </w: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136.6</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99.4</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159.7</w:t>
            </w:r>
          </w:p>
        </w:tc>
      </w:tr>
      <w:tr>
        <w:trPr>
          <w:trHeight w:val="177"/>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w:t>
            </w:r>
          </w:p>
        </w:tc>
      </w:tr>
      <w:tr>
        <w:trPr>
          <w:trHeight w:val="17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104.9</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152.5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145.1</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191.9</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 of intersegment cost of sales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cost of sales</w:t>
            </w: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191.9</w:t>
            </w:r>
          </w:p>
        </w:tc>
      </w:tr>
      <w:tr>
        <w:trPr>
          <w:trHeight w:val="28"/>
        </w:trPr>
        <w:tc>
          <w:tcPr>
            <w:tcW w:w="528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0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520" w:type="dxa"/>
            <w:vAlign w:val="bottom"/>
            <w:tcBorders>
              <w:top w:val="single" w:sz="8" w:color="CCEEFF"/>
              <w:bottom w:val="single" w:sz="8" w:color="auto"/>
            </w:tcBorders>
          </w:tcPr>
          <w:p>
            <w:pPr>
              <w:spacing w:after="0"/>
              <w:rPr>
                <w:sz w:val="2"/>
                <w:szCs w:val="2"/>
                <w:color w:val="auto"/>
              </w:rPr>
            </w:pPr>
          </w:p>
        </w:tc>
        <w:tc>
          <w:tcPr>
            <w:tcW w:w="78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0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480" w:type="dxa"/>
            <w:vAlign w:val="bottom"/>
            <w:tcBorders>
              <w:top w:val="single" w:sz="8" w:color="CCEEFF"/>
              <w:bottom w:val="single" w:sz="8" w:color="auto"/>
            </w:tcBorders>
          </w:tcPr>
          <w:p>
            <w:pPr>
              <w:spacing w:after="0"/>
              <w:rPr>
                <w:sz w:val="2"/>
                <w:szCs w:val="2"/>
                <w:color w:val="auto"/>
              </w:rPr>
            </w:pPr>
          </w:p>
        </w:tc>
        <w:tc>
          <w:tcPr>
            <w:tcW w:w="820" w:type="dxa"/>
            <w:vAlign w:val="bottom"/>
            <w:tcBorders>
              <w:top w:val="single" w:sz="8" w:color="CCEEFF"/>
              <w:bottom w:val="single" w:sz="8" w:color="auto"/>
            </w:tcBorders>
          </w:tcPr>
          <w:p>
            <w:pPr>
              <w:spacing w:after="0"/>
              <w:rPr>
                <w:sz w:val="2"/>
                <w:szCs w:val="2"/>
                <w:color w:val="auto"/>
              </w:rPr>
            </w:pPr>
          </w:p>
        </w:tc>
      </w:tr>
      <w:tr>
        <w:trPr>
          <w:trHeight w:val="18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Gross Profit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LEU segment: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LEU segment</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r>
      <w:tr>
        <w:trPr>
          <w:trHeight w:val="177"/>
        </w:trPr>
        <w:tc>
          <w:tcPr>
            <w:tcW w:w="5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Intersegment gross profit, eliminated on consolidation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52.5</w:t>
            </w: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83.7</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33.5</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Technical Solutions</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0"/>
        </w:trPr>
        <w:tc>
          <w:tcPr>
            <w:tcW w:w="52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r>
      <w:tr>
        <w:trPr>
          <w:trHeight w:val="17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 of intersegment gross profit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28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53.9</w:t>
            </w:r>
          </w:p>
        </w:tc>
        <w:tc>
          <w:tcPr>
            <w:tcW w:w="16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36.5</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86.8</w:t>
            </w:r>
          </w:p>
        </w:tc>
        <w:tc>
          <w:tcPr>
            <w:tcW w:w="16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40.8</w:t>
            </w:r>
          </w:p>
        </w:tc>
      </w:tr>
      <w:tr>
        <w:trPr>
          <w:trHeight w:val="60"/>
        </w:trPr>
        <w:tc>
          <w:tcPr>
            <w:tcW w:w="5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9"/>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to Income before income taxes</w:t>
            </w:r>
          </w:p>
        </w:tc>
        <w:tc>
          <w:tcPr>
            <w:tcW w:w="3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r>
      <w:tr>
        <w:trPr>
          <w:trHeight w:val="18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8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8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Nonoperating components of net periodic benefit loss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8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3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net</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4"/>
        </w:trPr>
        <w:tc>
          <w:tcPr>
            <w:tcW w:w="528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37.4</w:t>
            </w:r>
          </w:p>
        </w:tc>
        <w:tc>
          <w:tcPr>
            <w:tcW w:w="16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39.5</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72.6</w:t>
            </w:r>
          </w:p>
        </w:tc>
        <w:tc>
          <w:tcPr>
            <w:tcW w:w="16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31.1</w:t>
            </w:r>
          </w:p>
        </w:tc>
      </w:tr>
      <w:tr>
        <w:trPr>
          <w:trHeight w:val="20"/>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500" w:top="849" w:right="519" w:bottom="1440" w:gutter="0" w:footer="0" w:header="0"/>
        </w:sectPr>
      </w:pPr>
    </w:p>
    <w:bookmarkStart w:id="32" w:name="page33"/>
    <w:bookmarkEnd w:id="32"/>
    <w:p>
      <w:pPr>
        <w:ind w:firstLine="191"/>
        <w:spacing w:after="0" w:line="292" w:lineRule="auto"/>
        <w:rPr>
          <w:sz w:val="20"/>
          <w:szCs w:val="20"/>
          <w:color w:val="auto"/>
        </w:rPr>
      </w:pPr>
      <w:r>
        <w:rPr>
          <w:rFonts w:ascii="Times New Roman" w:cs="Times New Roman" w:eastAsia="Times New Roman" w:hAnsi="Times New Roman"/>
          <w:sz w:val="14"/>
          <w:szCs w:val="14"/>
          <w:color w:val="auto"/>
        </w:rPr>
        <w:t>The Company’s total assets are not presented for each reportable segment as they are not reviewed by, nor otherwise regularly provided to the chief operating decision maker (“CODM”), the CEO. The CODM uses revenue, cost of sales and gross profit to allocate resources (including personnel and financial or capital resources) for each segment, predominantly in the annual budget and quarterly financial review and forecasting process. The CODM considers budget-to-actual variances on a quarterly basis using revenue, cost of sale and gross profit when making decisions about allocating capital and personnel to the segments. Centrus’ long-term or long-lived assets, which include property, plant and equipment and other assets reported on the Consolidated Balance Sheet, were located in the United States as of June 30, 2025 and December 31, 2024.</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 from Major Customers (10% or More of Total Revenue)</w:t>
      </w:r>
    </w:p>
    <w:p>
      <w:pPr>
        <w:spacing w:after="0" w:line="200" w:lineRule="exact"/>
        <w:rPr>
          <w:sz w:val="20"/>
          <w:szCs w:val="20"/>
          <w:color w:val="auto"/>
        </w:rPr>
      </w:pPr>
    </w:p>
    <w:p>
      <w:pPr>
        <w:jc w:val="both"/>
        <w:ind w:right="100" w:firstLine="191"/>
        <w:spacing w:after="0" w:line="307" w:lineRule="auto"/>
        <w:rPr>
          <w:sz w:val="20"/>
          <w:szCs w:val="20"/>
          <w:color w:val="auto"/>
        </w:rPr>
      </w:pPr>
      <w:r>
        <w:rPr>
          <w:rFonts w:ascii="Times New Roman" w:cs="Times New Roman" w:eastAsia="Times New Roman" w:hAnsi="Times New Roman"/>
          <w:sz w:val="14"/>
          <w:szCs w:val="14"/>
          <w:color w:val="auto"/>
        </w:rPr>
        <w:t>In the three months ended June 30, 2025, three customers in the LEU segment individually represented $35.7 million, $32.8 million, and $19.9 million of revenue, respectively. In the six months ended June 30, 2025, three customers in the LEU segment individually represented $67.5 million, $35.7 million, and $32.8 million of revenue, respectively. One customer in the Technical Solutions segment individually represented $27.9 million and $49.6 million of revenue in the three and six months ended June 30, 2025, respectively.</w:t>
      </w:r>
    </w:p>
    <w:p>
      <w:pPr>
        <w:spacing w:after="0" w:line="125" w:lineRule="exact"/>
        <w:rPr>
          <w:sz w:val="20"/>
          <w:szCs w:val="20"/>
          <w:color w:val="auto"/>
        </w:rPr>
      </w:pPr>
    </w:p>
    <w:p>
      <w:pPr>
        <w:ind w:firstLine="191"/>
        <w:spacing w:after="0" w:line="261" w:lineRule="auto"/>
        <w:rPr>
          <w:sz w:val="20"/>
          <w:szCs w:val="20"/>
          <w:color w:val="auto"/>
        </w:rPr>
      </w:pPr>
      <w:r>
        <w:rPr>
          <w:rFonts w:ascii="Times New Roman" w:cs="Times New Roman" w:eastAsia="Times New Roman" w:hAnsi="Times New Roman"/>
          <w:sz w:val="16"/>
          <w:szCs w:val="16"/>
          <w:color w:val="auto"/>
        </w:rPr>
        <w:t>In both the three and six months ended June 30, 2024, four customers in the LEU segment individually represented $42.3 million, $35.4 million, $34.5 million, and $30.2 million of revenue, respectively. One customer in the Technical Solutions segment individually represented $18.9 million and $38.7 million of revenue in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98" w:lineRule="exact"/>
        <w:rPr>
          <w:sz w:val="20"/>
          <w:szCs w:val="20"/>
          <w:color w:val="auto"/>
        </w:rPr>
      </w:pPr>
    </w:p>
    <w:p>
      <w:pPr>
        <w:ind w:right="220" w:firstLine="191"/>
        <w:spacing w:after="0" w:line="262"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and is qualified in its entirety by reference to, the unaudited Consolidated Financial Statements and related notes appearing elsewhere in this report.</w:t>
      </w:r>
    </w:p>
    <w:p>
      <w:pPr>
        <w:spacing w:after="0" w:line="161" w:lineRule="exact"/>
        <w:rPr>
          <w:sz w:val="20"/>
          <w:szCs w:val="20"/>
          <w:color w:val="auto"/>
        </w:rPr>
      </w:pPr>
    </w:p>
    <w:p>
      <w:pPr>
        <w:jc w:val="both"/>
        <w:ind w:right="20" w:firstLine="191"/>
        <w:spacing w:after="0" w:line="255" w:lineRule="auto"/>
        <w:rPr>
          <w:sz w:val="20"/>
          <w:szCs w:val="20"/>
          <w:color w:val="auto"/>
        </w:rPr>
      </w:pPr>
      <w:r>
        <w:rPr>
          <w:rFonts w:ascii="Times New Roman" w:cs="Times New Roman" w:eastAsia="Times New Roman" w:hAnsi="Times New Roman"/>
          <w:sz w:val="16"/>
          <w:szCs w:val="16"/>
          <w:i w:val="1"/>
          <w:iCs w:val="1"/>
          <w:color w:val="auto"/>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and changes in laws, tariffs or other government measures. See “Forward-Looking Statements” at the beginning of 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89"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Centrus Energy Corp., a Delaware corporation (“Centrus,” the “Company”, “we” or “us”), is a trusted supplier of nuclear fuel components for the nuclear power industry, which provides a reliable source of carbon free energy and provides enrichment and technical services for public and private customers. References to “Centrus”, the “Company”, “our”, or “we” include Centrus Energy Corp. and its wholly owned subsidiaries as well as the predecessor to Centrus, unless the context indicates otherwise.</w:t>
      </w:r>
    </w:p>
    <w:p>
      <w:pPr>
        <w:spacing w:after="0" w:line="169" w:lineRule="exact"/>
        <w:rPr>
          <w:sz w:val="20"/>
          <w:szCs w:val="20"/>
          <w:color w:val="auto"/>
        </w:rPr>
      </w:pPr>
    </w:p>
    <w:p>
      <w:pPr>
        <w:jc w:val="both"/>
        <w:ind w:right="260" w:firstLine="191"/>
        <w:spacing w:after="0" w:line="254" w:lineRule="auto"/>
        <w:rPr>
          <w:sz w:val="20"/>
          <w:szCs w:val="20"/>
          <w:color w:val="auto"/>
        </w:rPr>
      </w:pPr>
      <w:r>
        <w:rPr>
          <w:rFonts w:ascii="Times New Roman" w:cs="Times New Roman" w:eastAsia="Times New Roman" w:hAnsi="Times New Roman"/>
          <w:sz w:val="16"/>
          <w:szCs w:val="16"/>
          <w:color w:val="auto"/>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w:t>
      </w:r>
    </w:p>
    <w:p>
      <w:pPr>
        <w:spacing w:after="0" w:line="169"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Our LEU segment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spacing w:after="0" w:line="161" w:lineRule="exact"/>
        <w:rPr>
          <w:sz w:val="20"/>
          <w:szCs w:val="20"/>
          <w:color w:val="auto"/>
        </w:rPr>
      </w:pPr>
    </w:p>
    <w:p>
      <w:pPr>
        <w:jc w:val="both"/>
        <w:ind w:right="60" w:firstLine="191"/>
        <w:spacing w:after="0" w:line="254" w:lineRule="auto"/>
        <w:rPr>
          <w:sz w:val="20"/>
          <w:szCs w:val="20"/>
          <w:color w:val="auto"/>
        </w:rPr>
      </w:pPr>
      <w:r>
        <w:rPr>
          <w:rFonts w:ascii="Times New Roman" w:cs="Times New Roman" w:eastAsia="Times New Roman" w:hAnsi="Times New Roman"/>
          <w:sz w:val="16"/>
          <w:szCs w:val="16"/>
          <w:color w:val="auto"/>
        </w:rPr>
        <w:t>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and spot purchases and our inventory. As a long-term supplier of LEU to our customers, our objective is to provide value through the reliability and diversity of our supply sources.</w:t>
      </w:r>
    </w:p>
    <w:p>
      <w:pPr>
        <w:spacing w:after="0" w:line="16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Published spot price indicators for SWU reached previous historic highs in April 2009 at $163 per SWU. In the years following the 2011 Fukushima accident in Japan, spot</w:t>
      </w:r>
    </w:p>
    <w:p>
      <w:pPr>
        <w:spacing w:after="0" w:line="1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prices declined more than 75%, bottoming out in August 2018 at $34 per SWU. This was followed by a period of price increases, which reached $195 per SWU by December 31, 2024, which surpassed the previous historic high. As of June 30, 2025, spot prices were $190 per SWU. This represents a decrease of 3% since the beginning of the year but an increase of 459% over the 2018 historic low. This surge in the SWU spot price beginning in 2022 has been driven primarily by uncertainty created as a result of the war in Ukraine, coupled with growing interest in nuclear power as a source of reliable carbon-free energy. The contemplation of imposition of tariffs on LEU, and if ultimately imposed, may put additional upward pressure on the price of SWU.</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4" w:name="page35"/>
    <w:bookmarkEnd w:id="34"/>
    <w:p>
      <w:pPr>
        <w:ind w:right="80" w:firstLine="191"/>
        <w:spacing w:after="0" w:line="259" w:lineRule="auto"/>
        <w:rPr>
          <w:sz w:val="20"/>
          <w:szCs w:val="20"/>
          <w:color w:val="auto"/>
        </w:rPr>
      </w:pPr>
      <w:r>
        <w:rPr>
          <w:rFonts w:ascii="Times New Roman" w:cs="Times New Roman" w:eastAsia="Times New Roman" w:hAnsi="Times New Roman"/>
          <w:sz w:val="16"/>
          <w:szCs w:val="16"/>
          <w:color w:val="auto"/>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 A report issued by the International Atomic Energy Agency in 2023 reported that while U.S. utilities may have enough inventory to cover one reload of their reactors, “truly strategic physical stockpiles are almost non-existent.”</w:t>
      </w:r>
      <w:r>
        <w:rPr>
          <w:rFonts w:ascii="Times New Roman" w:cs="Times New Roman" w:eastAsia="Times New Roman" w:hAnsi="Times New Roman"/>
          <w:sz w:val="20"/>
          <w:szCs w:val="20"/>
          <w:color w:val="auto"/>
          <w:vertAlign w:val="superscript"/>
        </w:rPr>
        <w:t>1</w:t>
      </w:r>
    </w:p>
    <w:p>
      <w:pPr>
        <w:spacing w:after="0" w:line="90" w:lineRule="exact"/>
        <w:rPr>
          <w:sz w:val="20"/>
          <w:szCs w:val="20"/>
          <w:color w:val="auto"/>
        </w:rPr>
      </w:pPr>
    </w:p>
    <w:p>
      <w:pPr>
        <w:ind w:right="120" w:firstLine="191"/>
        <w:spacing w:after="0" w:line="315" w:lineRule="auto"/>
        <w:rPr>
          <w:sz w:val="20"/>
          <w:szCs w:val="20"/>
          <w:color w:val="auto"/>
        </w:rPr>
      </w:pPr>
      <w:r>
        <w:rPr>
          <w:rFonts w:ascii="Times New Roman" w:cs="Times New Roman" w:eastAsia="Times New Roman" w:hAnsi="Times New Roman"/>
          <w:sz w:val="14"/>
          <w:szCs w:val="14"/>
          <w:color w:val="auto"/>
        </w:rPr>
        <w:t>Changes in the supply-demand balance and in the competitive landscape arising from the war in Ukraine or the imposition of tariffs,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spacing w:after="0" w:line="119" w:lineRule="exact"/>
        <w:rPr>
          <w:sz w:val="20"/>
          <w:szCs w:val="20"/>
          <w:color w:val="auto"/>
        </w:rPr>
      </w:pPr>
    </w:p>
    <w:p>
      <w:pPr>
        <w:ind w:right="80" w:firstLine="191"/>
        <w:spacing w:after="0" w:line="252" w:lineRule="auto"/>
        <w:rPr>
          <w:sz w:val="20"/>
          <w:szCs w:val="20"/>
          <w:color w:val="auto"/>
        </w:rPr>
      </w:pPr>
      <w:r>
        <w:rPr>
          <w:rFonts w:ascii="Times New Roman" w:cs="Times New Roman" w:eastAsia="Times New Roman" w:hAnsi="Times New Roman"/>
          <w:sz w:val="16"/>
          <w:szCs w:val="16"/>
          <w:color w:val="auto"/>
        </w:rPr>
        <w:t>Our Technical Solutions segment is committed to the restoration of America’s domestic uranium enrichment production capability in order to play a critical role in meeting U.S. national security and energy security requirements and advancing America’s nonproliferation, energy, and climate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w:t>
      </w:r>
    </w:p>
    <w:p>
      <w:pPr>
        <w:spacing w:after="0" w:line="172"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Company’s work on HALEU began under the HALEU Demonstration Contract, signed with the DOE in 2019 to construct a cascade of 16 AC100M centrifuges in Piketon, Ohio to demonstrate HALEU production. The DOE has funded the contract up to $173.0 million with a period of performance that ended November 30, 2022. Closeout activities on the HALEU Demonstration Contract are ongoing.</w:t>
      </w:r>
    </w:p>
    <w:p>
      <w:pPr>
        <w:spacing w:after="0" w:line="159" w:lineRule="exact"/>
        <w:rPr>
          <w:sz w:val="20"/>
          <w:szCs w:val="20"/>
          <w:color w:val="auto"/>
        </w:rPr>
      </w:pPr>
    </w:p>
    <w:p>
      <w:pPr>
        <w:ind w:firstLine="191"/>
        <w:spacing w:after="0" w:line="237" w:lineRule="auto"/>
        <w:rPr>
          <w:sz w:val="20"/>
          <w:szCs w:val="20"/>
          <w:color w:val="auto"/>
        </w:rPr>
      </w:pPr>
      <w:r>
        <w:rPr>
          <w:rFonts w:ascii="Times New Roman" w:cs="Times New Roman" w:eastAsia="Times New Roman" w:hAnsi="Times New Roman"/>
          <w:sz w:val="16"/>
          <w:szCs w:val="16"/>
          <w:color w:val="auto"/>
        </w:rPr>
        <w:t>On November 10, 2022, the DOE notified Centrus that the Company had been awarded the HALEU Operation Contract and work began on December 1, 2022. The base contract value was approximately $150.0 million with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no later than December 31, 2023. On November 7, 2023, the Company announced that it made its first contractual delivery of HALEU to the DOE, completing Phase 1 by successfully demonstrating its HALEU production process.</w:t>
      </w:r>
    </w:p>
    <w:p>
      <w:pPr>
        <w:spacing w:after="0" w:line="113" w:lineRule="exact"/>
        <w:rPr>
          <w:sz w:val="20"/>
          <w:szCs w:val="20"/>
          <w:color w:val="auto"/>
        </w:rPr>
      </w:pPr>
    </w:p>
    <w:p>
      <w:pPr>
        <w:ind w:right="60" w:firstLine="191"/>
        <w:spacing w:after="0" w:line="250" w:lineRule="auto"/>
        <w:rPr>
          <w:sz w:val="20"/>
          <w:szCs w:val="20"/>
          <w:color w:val="auto"/>
        </w:rPr>
      </w:pPr>
      <w:r>
        <w:rPr>
          <w:rFonts w:ascii="Times New Roman" w:cs="Times New Roman" w:eastAsia="Times New Roman" w:hAnsi="Times New Roman"/>
          <w:sz w:val="16"/>
          <w:szCs w:val="16"/>
          <w:color w:val="auto"/>
        </w:rPr>
        <w:t>During November 2023, the Company transitioned to Phase 2 of the HALEU Operation Contract, which included production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per year, as well as continued operations and maintenance. Phase 2 had an initial contract value of approximately $90.0 million and the Company is being compensated on a cost-plus-incentive-fee-basis. The DOE owns the HALEU produced from the demonstration cascade. 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134747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82" w:lineRule="exact"/>
        <w:rPr>
          <w:sz w:val="20"/>
          <w:szCs w:val="20"/>
          <w:color w:val="auto"/>
        </w:rPr>
      </w:pPr>
    </w:p>
    <w:p>
      <w:pPr>
        <w:ind w:left="5580" w:right="3780" w:hanging="5575"/>
        <w:spacing w:after="0" w:line="914" w:lineRule="auto"/>
        <w:tabs>
          <w:tab w:leader="none" w:pos="93"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International Atomic Energy Agency, “Global Inventories of Secondary Uranium Supplies” (IAEA-TECDOC-2030), p. 54 (2023).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-326390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35" w:name="page36"/>
    <w:bookmarkEnd w:id="35"/>
    <w:p>
      <w:pPr>
        <w:ind w:right="40" w:firstLine="191"/>
        <w:spacing w:after="0" w:line="239" w:lineRule="auto"/>
        <w:rPr>
          <w:sz w:val="20"/>
          <w:szCs w:val="20"/>
          <w:color w:val="auto"/>
        </w:rPr>
      </w:pPr>
      <w:r>
        <w:rPr>
          <w:rFonts w:ascii="Times New Roman" w:cs="Times New Roman" w:eastAsia="Times New Roman" w:hAnsi="Times New Roman"/>
          <w:sz w:val="16"/>
          <w:szCs w:val="16"/>
          <w:color w:val="auto"/>
        </w:rPr>
        <w:t>Under the HALEU Operation Contract, DOE is contractually obligated to provide the 5B Cylinders necessary to collect the output of the cascade, but supply chain challenges had created difficulties for DOE in securing enough 5B Cylinders for the entire production year under Phase 2. During time periods when 5B Cylinders were insufficient, the Company was able to continue operations of the cascade, but did not produce HALEU as it did not have 5B Cylinders to store the enriched uranium. Due to these delays, Centrus was unable to achieve contractual delivery of the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the date set for the end of Phase 2 performance. Centrus’ contractual delivery obligation of 900 kilograms by November 2024, was conditioned on DOE’s ability to provide the 5B Cylinders on a timeline that allowed for continuous production throughout Phase 2 of the contract. In light of the delays, on November 5, 2024, the HALEU Operation Contract was modified to extend the Phase 2 period of performance to June 30, 2025. On June 25, 2025, the Company announced that it had produced and contractually delivered to the DOE 900 kilograms of HALEU under the HALEU Operation Contract, thereby achieving the Phase 2 production target. As of June 30, 2025, the total Phase 2 contract value and funded value is $169.1 million. The fee for the Phase 2 period of performance that was extended beyond November 30, 2024 was not definitized and is subject to negotiation.</w:t>
      </w:r>
    </w:p>
    <w:p>
      <w:pPr>
        <w:spacing w:after="0" w:line="173"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June 17, 2025, the DOE issued an amendment to the HALEU Operation Contract that split the first three-year option period into a first option period of one year (“Option 1a”) and a second option period of two years (“Option 1b”). The amendment establishes a target cost and fee for Option 1a of approximately $99.3 million and $8.7 million, respectively, and a target cost and fee for Option 1b of $163.5 million and $15.2 million, respectively. Additionally, the Amendment acknowledges that the estimated cost associated with Option 1b is insufficient to support full performance due to known cost increases since award of the HALEU Operation Contract, and indicates that the Company will need to submit a revised cost proposal for review and negotiation prior to DOE’s consideration of Option 1b. In conjunction with the amendment, the DOE exercised Option 1a and extended the period of performance to June 30, 2026. As of June 30, 2025, Option 1a is funded for the contract value of $108.0 million.</w:t>
      </w:r>
    </w:p>
    <w:p>
      <w:pPr>
        <w:spacing w:after="0" w:line="175" w:lineRule="exact"/>
        <w:rPr>
          <w:sz w:val="20"/>
          <w:szCs w:val="20"/>
          <w:color w:val="auto"/>
        </w:rPr>
      </w:pPr>
    </w:p>
    <w:p>
      <w:pPr>
        <w:jc w:val="both"/>
        <w:ind w:right="300" w:firstLine="191"/>
        <w:spacing w:after="0" w:line="254" w:lineRule="auto"/>
        <w:rPr>
          <w:sz w:val="20"/>
          <w:szCs w:val="20"/>
          <w:color w:val="auto"/>
        </w:rPr>
      </w:pPr>
      <w:r>
        <w:rPr>
          <w:rFonts w:ascii="Times New Roman" w:cs="Times New Roman" w:eastAsia="Times New Roman" w:hAnsi="Times New Roman"/>
          <w:sz w:val="16"/>
          <w:szCs w:val="16"/>
          <w:color w:val="auto"/>
        </w:rPr>
        <w:t>While the obligation to furnish compliant 5B Cylinders under the HALEU Operation Contract continues to rest with the DOE, Centrus has worked to help the DOE to secure additional cylinders. To support the DOE in mitigating the risk of further delays in delivery of 5B Cylinders, the Company received Contracting Officer approval and a contract modification from the DOE to procure compliant 5B Cylinders and components.</w:t>
      </w:r>
    </w:p>
    <w:p>
      <w:pPr>
        <w:spacing w:after="0" w:line="169"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Congress has appropriated a total of $3.4 billion to the DOE to jumpstart U.S. nuclear fuel production, including both LEU and HALEU. Based on this funding, the DOE issued a series of three RFPs covering HALEU production, HALEU deconversion, and LEU production. In late 2024, the Department made initial selections under each of the RFPs. Centrus was among the awardees for all three RFPs under an IDIQ structure.</w:t>
      </w:r>
    </w:p>
    <w:p>
      <w:pPr>
        <w:spacing w:after="0" w:line="159" w:lineRule="exact"/>
        <w:rPr>
          <w:sz w:val="20"/>
          <w:szCs w:val="20"/>
          <w:color w:val="auto"/>
        </w:rPr>
      </w:pPr>
    </w:p>
    <w:p>
      <w:pPr>
        <w:ind w:right="40" w:firstLine="191"/>
        <w:spacing w:after="0" w:line="261" w:lineRule="auto"/>
        <w:rPr>
          <w:sz w:val="20"/>
          <w:szCs w:val="20"/>
          <w:color w:val="auto"/>
        </w:rPr>
      </w:pPr>
      <w:r>
        <w:rPr>
          <w:rFonts w:ascii="Times New Roman" w:cs="Times New Roman" w:eastAsia="Times New Roman" w:hAnsi="Times New Roman"/>
          <w:sz w:val="16"/>
          <w:szCs w:val="16"/>
          <w:color w:val="auto"/>
        </w:rPr>
        <w:t>Each of these IDIQ awards carries a $2.0 million contract minimum for each awardee, and is subject to an overall contract ceiling covering all awardees. Under the IDIQ awards, the DOE can issue task orders to the awardees and then allocate available funding to those task orders. The ultimate value of the awards to Centrus -- and the potential scale of the expansion supported -- will depend upon the scope of task orders that DOE may subsequently issue under the contracts for which the Company intends to compete.</w:t>
      </w:r>
    </w:p>
    <w:p>
      <w:pPr>
        <w:spacing w:after="0" w:line="153" w:lineRule="exact"/>
        <w:rPr>
          <w:sz w:val="20"/>
          <w:szCs w:val="20"/>
          <w:color w:val="auto"/>
        </w:rPr>
      </w:pPr>
    </w:p>
    <w:p>
      <w:pPr>
        <w:ind w:right="20" w:firstLine="191"/>
        <w:spacing w:after="0" w:line="251" w:lineRule="auto"/>
        <w:rPr>
          <w:sz w:val="20"/>
          <w:szCs w:val="20"/>
          <w:color w:val="auto"/>
        </w:rPr>
      </w:pPr>
      <w:r>
        <w:rPr>
          <w:rFonts w:ascii="Times New Roman" w:cs="Times New Roman" w:eastAsia="Times New Roman" w:hAnsi="Times New Roman"/>
          <w:sz w:val="16"/>
          <w:szCs w:val="16"/>
          <w:color w:val="auto"/>
        </w:rPr>
        <w:t>Of the $3.4 billion in appropriated funds, $700 million specifically related to HALEU is from the Inflation Reduction Act (“IRA”). Executive Order 14154, issued on January 20, 2025, directed executive agencies of the U.S. federal government to pause the distribution of federal funding, including funding appropriated under the IRA, pending a review of programs for issuing grants, loans, contracts, or any other financial disbursements. While implementation of the funding pause is currently subject to legal challenges, the ultimate outcomes, and DOE actions during the pendency, of these legal challenges remain uncertain. Should the pause continue to be implemented, the timing of the pause and subsequent review, as well as the outcome of such review, remain uncertain.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6" w:name="page37"/>
    <w:bookmarkEnd w:id="36"/>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On November 6, 2024, DOE issued requests for task order proposals under the HALEU Deconversion Contract and the HALEU Enrichment Contracts. DOE contemplates issuing the task orders on a time-and-material basis with a two year period of performance for the purpose of describing the technical approach and price in an optimization study to support DOE in establishing the commercial production of HALEU and commercial deconversion of HALEU, respectively. On January 9, 2025, we submitted our proposals in response to these requests for task order proposals. As of the filing of this Form 10-Q, no task orders have been awarded under the HALEU Deconversion Contract and the HALEU Enrichment Contract.</w:t>
      </w:r>
    </w:p>
    <w:p>
      <w:pPr>
        <w:spacing w:after="0" w:line="174" w:lineRule="exact"/>
        <w:rPr>
          <w:sz w:val="20"/>
          <w:szCs w:val="20"/>
          <w:color w:val="auto"/>
        </w:rPr>
      </w:pPr>
    </w:p>
    <w:p>
      <w:pPr>
        <w:ind w:right="100" w:firstLine="191"/>
        <w:spacing w:after="0" w:line="273" w:lineRule="auto"/>
        <w:rPr>
          <w:sz w:val="20"/>
          <w:szCs w:val="20"/>
          <w:color w:val="auto"/>
        </w:rPr>
      </w:pPr>
      <w:r>
        <w:rPr>
          <w:rFonts w:ascii="Times New Roman" w:cs="Times New Roman" w:eastAsia="Times New Roman" w:hAnsi="Times New Roman"/>
          <w:sz w:val="16"/>
          <w:szCs w:val="16"/>
          <w:color w:val="auto"/>
        </w:rPr>
        <w:t>On March 30, 2025, the Company submitted its proposal in response to a request for task order from the DOE for a report and additional deliverables under the LEU Production Contract. On April 11, 2025, the Company was awarded a time and materials task order with a total award ceiling of approximately $0.5 million.</w:t>
      </w:r>
    </w:p>
    <w:p>
      <w:pPr>
        <w:spacing w:after="0" w:line="144" w:lineRule="exact"/>
        <w:rPr>
          <w:sz w:val="20"/>
          <w:szCs w:val="20"/>
          <w:color w:val="auto"/>
        </w:rPr>
      </w:pPr>
    </w:p>
    <w:p>
      <w:pPr>
        <w:ind w:right="240" w:firstLine="191"/>
        <w:spacing w:after="0" w:line="254" w:lineRule="auto"/>
        <w:rPr>
          <w:sz w:val="20"/>
          <w:szCs w:val="20"/>
          <w:color w:val="auto"/>
        </w:rPr>
      </w:pPr>
      <w:r>
        <w:rPr>
          <w:rFonts w:ascii="Times New Roman" w:cs="Times New Roman" w:eastAsia="Times New Roman" w:hAnsi="Times New Roman"/>
          <w:sz w:val="16"/>
          <w:szCs w:val="16"/>
          <w:color w:val="auto"/>
        </w:rPr>
        <w:t>On November 20, 2024, the Company announced the resumption of centrifuge manufacturing activities and the expansion of its manufacturing capacity at its facility in Oak Ridge, Tennessee. The Company is investing approximately $60.0 million over an 18 month period in this effort, which will help lay the groundwork to support a potential large-scale expansion of uranium enrichment in Piketon, Ohio.</w:t>
      </w:r>
    </w:p>
    <w:p>
      <w:pPr>
        <w:spacing w:after="0" w:line="169"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 xml:space="preserve">The Qualifying Advanced Energy Project Credit (“§48C”) was established by the American Recovery and Reinvestment Act of 2009 and renewed and expanded under the IRA. The §48C program aims to strengthen U.S. industrial competitiveness and clean energy supply chains. 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Internal Revenue Service (“IRS”) granted our request for a $62.4 million credit allocation for this facility. Centrus now has two years from that date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 It is uncertain how Executive Order 14154 will impact the IRS determination regarding our application request. For further details refer to </w:t>
      </w:r>
      <w:r>
        <w:rPr>
          <w:rFonts w:ascii="Times New Roman" w:cs="Times New Roman" w:eastAsia="Times New Roman" w:hAnsi="Times New Roman"/>
          <w:sz w:val="16"/>
          <w:szCs w:val="16"/>
          <w:i w:val="1"/>
          <w:iCs w:val="1"/>
          <w:color w:val="auto"/>
        </w:rPr>
        <w:t>Liquidity and Capital Resources</w:t>
      </w:r>
      <w:r>
        <w:rPr>
          <w:rFonts w:ascii="Times New Roman" w:cs="Times New Roman" w:eastAsia="Times New Roman" w:hAnsi="Times New Roman"/>
          <w:sz w:val="16"/>
          <w:szCs w:val="16"/>
          <w:color w:val="auto"/>
        </w:rPr>
        <w:t xml:space="preserve"> in this Quarterly Report on Form 10-Q.</w:t>
      </w:r>
    </w:p>
    <w:p>
      <w:pPr>
        <w:spacing w:after="0" w:line="170" w:lineRule="exact"/>
        <w:rPr>
          <w:sz w:val="20"/>
          <w:szCs w:val="20"/>
          <w:color w:val="auto"/>
        </w:rPr>
      </w:pPr>
    </w:p>
    <w:p>
      <w:pPr>
        <w:ind w:right="140" w:firstLine="191"/>
        <w:spacing w:after="0" w:line="248" w:lineRule="auto"/>
        <w:rPr>
          <w:sz w:val="20"/>
          <w:szCs w:val="20"/>
          <w:color w:val="auto"/>
        </w:rPr>
      </w:pPr>
      <w:r>
        <w:rPr>
          <w:rFonts w:ascii="Times New Roman" w:cs="Times New Roman" w:eastAsia="Times New Roman" w:hAnsi="Times New Roman"/>
          <w:sz w:val="16"/>
          <w:szCs w:val="16"/>
          <w:color w:val="auto"/>
        </w:rPr>
        <w:t>On November 7, 2024, the Company issued 2.25% Convertible Notes with an aggregate principal amount of $402.5 million, due November 1, 2030, unless earlier repurchased, redeemed or converted. The proceeds from the 2.25% Convertible Notes were to be used for general working capital and corporate purposes, which may include investment in technology development or deployment, repayment or repurchase of outstanding debt, capital expenditures, potential acquisitions and other business opportunities and purposes. 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related to the extinguishment of the long-term debt.</w:t>
      </w:r>
    </w:p>
    <w:p>
      <w:pPr>
        <w:spacing w:after="0" w:line="175" w:lineRule="exact"/>
        <w:rPr>
          <w:sz w:val="20"/>
          <w:szCs w:val="20"/>
          <w:color w:val="auto"/>
        </w:rPr>
      </w:pPr>
    </w:p>
    <w:p>
      <w:pPr>
        <w:jc w:val="both"/>
        <w:ind w:firstLine="191"/>
        <w:spacing w:after="0" w:line="248" w:lineRule="auto"/>
        <w:rPr>
          <w:sz w:val="20"/>
          <w:szCs w:val="20"/>
          <w:color w:val="auto"/>
        </w:rPr>
      </w:pPr>
      <w:r>
        <w:rPr>
          <w:rFonts w:ascii="Times New Roman" w:cs="Times New Roman" w:eastAsia="Times New Roman" w:hAnsi="Times New Roman"/>
          <w:sz w:val="16"/>
          <w:szCs w:val="16"/>
          <w:color w:val="auto"/>
        </w:rPr>
        <w:t>On June 30, 2025, the Company provided notice to the noteholders that the notes became convertible at the option of the holders beginning on July 1, 2025, and ending at the close of business on September 30, 2025.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the calendar quarter ended June 30, 2025, was greater than 130% of the conversion price in effect on each applicable trading day.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7" w:name="page38"/>
    <w:bookmarkEnd w:id="37"/>
    <w:p>
      <w:pPr>
        <w:jc w:val="center"/>
        <w:ind w:right="120"/>
        <w:spacing w:after="0"/>
        <w:rPr>
          <w:sz w:val="20"/>
          <w:szCs w:val="20"/>
          <w:color w:val="auto"/>
        </w:rPr>
      </w:pPr>
      <w:r>
        <w:rPr>
          <w:rFonts w:ascii="Times New Roman" w:cs="Times New Roman" w:eastAsia="Times New Roman" w:hAnsi="Times New Roman"/>
          <w:sz w:val="16"/>
          <w:szCs w:val="16"/>
          <w:color w:val="auto"/>
        </w:rPr>
        <w:t>The war in Ukraine, along with the Import Ban Act and the Russian Decree, have contributed to a significant increase in market prices for enrichment and prompted calls for</w:t>
      </w:r>
    </w:p>
    <w:p>
      <w:pPr>
        <w:spacing w:after="0" w:line="1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public and private investment in new, domestic uranium enrichment capacity not only for HALEU production, but also for LEU production to support the existing fleet of reactors. As a result, coupled with the Company’s contract awards for HALEU and LEU production,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and/or off-take commitments.</w:t>
      </w:r>
    </w:p>
    <w:p>
      <w:pPr>
        <w:spacing w:after="0" w:line="147" w:lineRule="exact"/>
        <w:rPr>
          <w:sz w:val="20"/>
          <w:szCs w:val="20"/>
          <w:color w:val="auto"/>
        </w:rPr>
      </w:pPr>
    </w:p>
    <w:p>
      <w:pPr>
        <w:ind w:right="80" w:firstLine="191"/>
        <w:spacing w:after="0" w:line="285" w:lineRule="auto"/>
        <w:rPr>
          <w:sz w:val="20"/>
          <w:szCs w:val="20"/>
          <w:color w:val="auto"/>
        </w:rPr>
      </w:pPr>
      <w:r>
        <w:rPr>
          <w:rFonts w:ascii="Times New Roman" w:cs="Times New Roman" w:eastAsia="Times New Roman" w:hAnsi="Times New Roman"/>
          <w:sz w:val="14"/>
          <w:szCs w:val="14"/>
          <w:color w:val="auto"/>
        </w:rPr>
        <w:t>The Energy Act of 2020 (“The Energy Act”) required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There are a number of advanced reactors under development that would use HALEU. Nine of the ten advanced reactor designs initially selected by the DOE for its ARDP will require HALEU. Various agencies of the U.S. government, including the U.S. Department of Defense, the Defense Advanced Research Projects Agency, and the DOE are building small modular reactors and microreactors, which demonstrates the focus on both the development of microreactors and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spacing w:after="0" w:line="338" w:lineRule="exact"/>
        <w:rPr>
          <w:sz w:val="20"/>
          <w:szCs w:val="20"/>
          <w:color w:val="auto"/>
        </w:rPr>
      </w:pPr>
    </w:p>
    <w:p>
      <w:pPr>
        <w:ind w:firstLine="191"/>
        <w:spacing w:after="0" w:line="260" w:lineRule="auto"/>
        <w:rPr>
          <w:sz w:val="20"/>
          <w:szCs w:val="20"/>
          <w:color w:val="auto"/>
        </w:rPr>
      </w:pPr>
      <w:r>
        <w:rPr>
          <w:rFonts w:ascii="Times New Roman" w:cs="Times New Roman" w:eastAsia="Times New Roman" w:hAnsi="Times New Roman"/>
          <w:sz w:val="16"/>
          <w:szCs w:val="16"/>
          <w:color w:val="auto"/>
        </w:rPr>
        <w:t>While the monthly price indicators have increased for several years, the uranium enrichment segment of the nuclear fuel market remains oversupplied and faces uncertainty about future demand for nuclear power generation. However, without Russian supply, the global market would be undersupplied for uranium enrichment. Recent data from the International Trade Commission shows a significant increase in the importation of enriched uranium into the U.S. from China beginning in 2023. If this trend continues, it will likely result in significant changes in the competitive landscape that will affect pricing trends and customer spending patterns and create uncertainty and likely have a negative impact on our business. To address these changes, we have taken steps to adjust our cost structure; we may seek further adjustments to our cost structure and operations and evaluate opportunities to grow our business organically or through acquisitions and other strategic transactions.</w:t>
      </w:r>
    </w:p>
    <w:p>
      <w:pPr>
        <w:spacing w:after="0" w:line="152" w:lineRule="exact"/>
        <w:rPr>
          <w:sz w:val="20"/>
          <w:szCs w:val="20"/>
          <w:color w:val="auto"/>
        </w:rPr>
      </w:pPr>
    </w:p>
    <w:p>
      <w:pPr>
        <w:ind w:right="40" w:firstLine="191"/>
        <w:spacing w:after="0" w:line="261" w:lineRule="auto"/>
        <w:rPr>
          <w:sz w:val="20"/>
          <w:szCs w:val="20"/>
          <w:color w:val="auto"/>
        </w:rPr>
      </w:pPr>
      <w:r>
        <w:rPr>
          <w:rFonts w:ascii="Times New Roman" w:cs="Times New Roman" w:eastAsia="Times New Roman" w:hAnsi="Times New Roman"/>
          <w:sz w:val="16"/>
          <w:szCs w:val="16"/>
          <w:color w:val="auto"/>
        </w:rPr>
        <w:t xml:space="preserve">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For further discussion, refer to </w:t>
      </w:r>
      <w:r>
        <w:rPr>
          <w:rFonts w:ascii="Times New Roman" w:cs="Times New Roman" w:eastAsia="Times New Roman" w:hAnsi="Times New Roman"/>
          <w:sz w:val="16"/>
          <w:szCs w:val="16"/>
          <w:i w:val="1"/>
          <w:iCs w:val="1"/>
          <w:color w:val="auto"/>
        </w:rPr>
        <w:t>Liquidity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Capital Resources </w:t>
      </w:r>
      <w:r>
        <w:rPr>
          <w:rFonts w:ascii="Times New Roman" w:cs="Times New Roman" w:eastAsia="Times New Roman" w:hAnsi="Times New Roman"/>
          <w:sz w:val="16"/>
          <w:szCs w:val="16"/>
          <w:color w:val="auto"/>
        </w:rPr>
        <w:t>in this Quarterly Report on Form 10-Q.</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Conditions and Outlook</w:t>
      </w:r>
    </w:p>
    <w:p>
      <w:pPr>
        <w:spacing w:after="0" w:line="200" w:lineRule="exact"/>
        <w:rPr>
          <w:sz w:val="20"/>
          <w:szCs w:val="20"/>
          <w:color w:val="auto"/>
        </w:rPr>
      </w:pPr>
    </w:p>
    <w:p>
      <w:pPr>
        <w:ind w:right="100" w:firstLine="191"/>
        <w:spacing w:after="0" w:line="254" w:lineRule="auto"/>
        <w:rPr>
          <w:sz w:val="20"/>
          <w:szCs w:val="20"/>
          <w:color w:val="auto"/>
        </w:rPr>
      </w:pPr>
      <w:r>
        <w:rPr>
          <w:rFonts w:ascii="Times New Roman" w:cs="Times New Roman" w:eastAsia="Times New Roman" w:hAnsi="Times New Roman"/>
          <w:sz w:val="16"/>
          <w:szCs w:val="16"/>
          <w:color w:val="auto"/>
        </w:rPr>
        <w:t>The global nuclear industry outlook has improved after many years of decline or stagnation. The development of advanced small and large-scale reactors, the innovation of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8" w:name="page39"/>
    <w:bookmarkEnd w:id="38"/>
    <w:p>
      <w:pPr>
        <w:ind w:firstLine="191"/>
        <w:spacing w:after="0" w:line="248" w:lineRule="auto"/>
        <w:rPr>
          <w:sz w:val="20"/>
          <w:szCs w:val="20"/>
          <w:color w:val="auto"/>
        </w:rPr>
      </w:pPr>
      <w:r>
        <w:rPr>
          <w:rFonts w:ascii="Times New Roman" w:cs="Times New Roman" w:eastAsia="Times New Roman" w:hAnsi="Times New Roman"/>
          <w:sz w:val="16"/>
          <w:szCs w:val="16"/>
          <w:color w:val="auto"/>
        </w:rPr>
        <w:t>According to the WNA, as of June 2025, there were 69 reactors under construction worldwide, approximately one-half of which are in China. The United States, with over 90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Eight U.S. reactors have prematurely shut down in the past ten years, and others could shut down in the next few years. At the same time, construction was completed and commercial operations began in the second quarter of 2024 on one large reactor and two formerly shutdown reactors have plans to restart.</w:t>
      </w:r>
    </w:p>
    <w:p>
      <w:pPr>
        <w:spacing w:after="0" w:line="172" w:lineRule="exact"/>
        <w:rPr>
          <w:sz w:val="20"/>
          <w:szCs w:val="20"/>
          <w:color w:val="auto"/>
        </w:rPr>
      </w:pPr>
    </w:p>
    <w:p>
      <w:pPr>
        <w:ind w:right="80" w:firstLine="191"/>
        <w:spacing w:after="0" w:line="255" w:lineRule="auto"/>
        <w:rPr>
          <w:sz w:val="20"/>
          <w:szCs w:val="20"/>
          <w:color w:val="auto"/>
        </w:rPr>
      </w:pPr>
      <w:r>
        <w:rPr>
          <w:rFonts w:ascii="Times New Roman" w:cs="Times New Roman" w:eastAsia="Times New Roman" w:hAnsi="Times New Roman"/>
          <w:sz w:val="16"/>
          <w:szCs w:val="16"/>
          <w:color w:val="auto"/>
        </w:rPr>
        <w:t xml:space="preserve">The IEA projects that global nuclear energy generation will grow substantially in the next three decades. In the IEA’s </w:t>
      </w:r>
      <w:r>
        <w:rPr>
          <w:rFonts w:ascii="Times New Roman" w:cs="Times New Roman" w:eastAsia="Times New Roman" w:hAnsi="Times New Roman"/>
          <w:sz w:val="16"/>
          <w:szCs w:val="16"/>
          <w:i w:val="1"/>
          <w:iCs w:val="1"/>
          <w:color w:val="auto"/>
        </w:rPr>
        <w:t>2024 World Energy Outlook</w:t>
      </w:r>
      <w:r>
        <w:rPr>
          <w:rFonts w:ascii="Times New Roman" w:cs="Times New Roman" w:eastAsia="Times New Roman" w:hAnsi="Times New Roman"/>
          <w:sz w:val="16"/>
          <w:szCs w:val="16"/>
          <w:color w:val="auto"/>
        </w:rPr>
        <w:t>, nuclear generation is forecasted to grow by 18% by 2030 and 47% by 2040 under the “Stated Policies” scenario. In the “Net Zero Emissions by 2050” scenario, nuclear generation would grow by 41% by 2030 and more than double by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119380</wp:posOffset>
            </wp:positionV>
            <wp:extent cx="3880485" cy="3099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80485" cy="309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As a consequence of the March 2011 earthquake and tsunami in Japan, over 60 reactors in Japan and Germany were taken offline, and other countries curtailed or slowed their construction of new reactors or accelerated the retirement of existing plants. In Japan, 14 reactors have restarted and an additional 11 reactors are in the process of restart approval. Due to the war in Ukraine, the EU is encouraging its member countries to reconsider the planned early retirement of existing plants in order to reduce reliance on Russian gas imports.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7" w:right="399" w:bottom="1440" w:gutter="0" w:footer="0" w:header="0"/>
        </w:sectPr>
      </w:pPr>
    </w:p>
    <w:bookmarkStart w:id="39" w:name="page40"/>
    <w:bookmarkEnd w:id="39"/>
    <w:p>
      <w:pPr>
        <w:ind w:firstLine="191"/>
        <w:spacing w:after="0" w:line="246" w:lineRule="auto"/>
        <w:rPr>
          <w:sz w:val="20"/>
          <w:szCs w:val="20"/>
          <w:color w:val="auto"/>
        </w:rPr>
      </w:pPr>
      <w:r>
        <w:rPr>
          <w:rFonts w:ascii="Times New Roman" w:cs="Times New Roman" w:eastAsia="Times New Roman" w:hAnsi="Times New Roman"/>
          <w:sz w:val="16"/>
          <w:szCs w:val="16"/>
          <w:color w:val="auto"/>
        </w:rPr>
        <w:t>In October 2020, the DOC reached an agreement with the Russian Federation on an extension of the RSA, a trade agreement that allows for Russian-origin nuclear fuel to be exported to the United States in limited quantities. The two parties agreed to extend the agreement through 2040 and to set aside a significant portion of the quota for Centrus’ shipments to the United States through 2028 to perform under our TENEX Supply Contract. This outcome allowed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spacing w:after="0" w:line="178" w:lineRule="exact"/>
        <w:rPr>
          <w:sz w:val="20"/>
          <w:szCs w:val="20"/>
          <w:color w:val="auto"/>
        </w:rPr>
      </w:pPr>
    </w:p>
    <w:p>
      <w:pPr>
        <w:ind w:right="40" w:firstLine="191"/>
        <w:spacing w:after="0" w:line="246" w:lineRule="auto"/>
        <w:rPr>
          <w:sz w:val="20"/>
          <w:szCs w:val="20"/>
          <w:color w:val="auto"/>
        </w:rPr>
      </w:pPr>
      <w:r>
        <w:rPr>
          <w:rFonts w:ascii="Times New Roman" w:cs="Times New Roman" w:eastAsia="Times New Roman" w:hAnsi="Times New Roman"/>
          <w:sz w:val="16"/>
          <w:szCs w:val="16"/>
          <w:color w:val="auto"/>
        </w:rPr>
        <w:t>The war in Ukraine escalated tensions between Russia and the international community. As a result, the United States and other countries imposed, including through the United States’s enactment of the Import Ban Act discussed below, and may continue imposing, additional sanctions, tariffs, and export controls against certain Russian products, services, organizations, and/or individuals. Such additional restrictions could affect our ability to purchase, take delivery of, transport, or re-sell Russian uranium enrichment, engage in transactions with TENEX, or implement the TENEX Supply Contract, which would have a negative material impact on our business. Further, tariffs or sanctions by the United States, Russia or other countries may impact our ability and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current validity of the permit for continued shipments of LEU imports.</w:t>
      </w:r>
    </w:p>
    <w:p>
      <w:pPr>
        <w:spacing w:after="0" w:line="170" w:lineRule="exact"/>
        <w:rPr>
          <w:sz w:val="20"/>
          <w:szCs w:val="20"/>
          <w:color w:val="auto"/>
        </w:rPr>
      </w:pPr>
    </w:p>
    <w:p>
      <w:pPr>
        <w:ind w:right="20" w:firstLine="191"/>
        <w:spacing w:after="0" w:line="285" w:lineRule="auto"/>
        <w:rPr>
          <w:sz w:val="20"/>
          <w:szCs w:val="20"/>
          <w:color w:val="auto"/>
        </w:rPr>
      </w:pPr>
      <w:r>
        <w:rPr>
          <w:rFonts w:ascii="Times New Roman" w:cs="Times New Roman" w:eastAsia="Times New Roman" w:hAnsi="Times New Roman"/>
          <w:sz w:val="14"/>
          <w:szCs w:val="14"/>
          <w:color w:val="auto"/>
        </w:rPr>
        <w:t>In response to the war in Ukraine, on May 13, 2024, the Import Ban Act was enacted. This law bans imports of LEU from Russia into the U.S. beginning August 11, 2024, subject to issuance of waivers by the DOE. In accordance with the instructions published by the DOE on May 24, 2024, the Company filed its first waiver request application on May 27, 2024, to permit the importation of LEU already committed for delivery to its U.S. customers in 2024 through 2027. On July 18, 2024, the DOE issued the Company a waiver allowing it to import LEU from Russia for deliveries already committed by the Company to its U.S. customers in years 2024 and 2025. For the years 2026 and 2027, the DOE deferred its decision to an unspecified date closer in time to the deliveries. On June 7, 2024, the Company filed a second waiver request application to allow for importation of LEU from Russia for processing and reexport to the Company's foreign customers. On October 31, 2024, the DOE issued its determination waiving the prohibition of the importation of such material to our foreign customers scheduled in 2025. On December 11, 2024, the Company filed a third waiver request application to allow for importation of LEU from Russia in 2026 and 2027 for use in future sales to our U.S. customers. The U.S. ban on imports of Russian LEU, without the grant of additional timely waivers, would have a negative material impact on our business. Through 2027, well over one-half of the LEU that we expect to deliver to customers was sourced under the TENEX Supply Contract. While we have other sources of supply, they are not sufficient to replace the TENEX supply. It is uncertain whether any waiver would be granted in response to our pending or any potential future applications and, if granted, whether any waiver would be granted in a timely manner for us to benefit from it.</w:t>
      </w:r>
    </w:p>
    <w:p>
      <w:pPr>
        <w:spacing w:after="0" w:line="338" w:lineRule="exact"/>
        <w:rPr>
          <w:sz w:val="20"/>
          <w:szCs w:val="20"/>
          <w:color w:val="auto"/>
        </w:rPr>
      </w:pPr>
    </w:p>
    <w:p>
      <w:pPr>
        <w:ind w:right="120" w:firstLine="191"/>
        <w:spacing w:after="0" w:line="248" w:lineRule="auto"/>
        <w:rPr>
          <w:sz w:val="20"/>
          <w:szCs w:val="20"/>
          <w:color w:val="auto"/>
        </w:rPr>
      </w:pPr>
      <w:r>
        <w:rPr>
          <w:rFonts w:ascii="Times New Roman" w:cs="Times New Roman" w:eastAsia="Times New Roman" w:hAnsi="Times New Roman"/>
          <w:sz w:val="16"/>
          <w:szCs w:val="16"/>
          <w:color w:val="auto"/>
        </w:rPr>
        <w:t>On November 14, 2024 the government of the Russian Federation passed the Russian Decree, effective through December 31, 2025, that rescinded TENEX’s general license to export LEU to the United States or to entities registered in the United States. Accordingly, TENEX is required to obtain a specific export license from the Russian authorities for each shipment to Centrus through 2025. Except for the initial delay, TENEX has received specific licenses to satisfy shipments to Centrus in the regular course of business. But Centrus has been informed that there is no certainty whether additional licenses will be issued by the Russian authorities and if issued, whether they will be issued in a timely manner and not rescinded prior to the shipment taking place.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40" w:name="page41"/>
    <w:bookmarkEnd w:id="40"/>
    <w:p>
      <w:pPr>
        <w:ind w:firstLine="191"/>
        <w:spacing w:after="0" w:line="252" w:lineRule="auto"/>
        <w:rPr>
          <w:sz w:val="20"/>
          <w:szCs w:val="20"/>
          <w:color w:val="auto"/>
        </w:rPr>
      </w:pPr>
      <w:r>
        <w:rPr>
          <w:rFonts w:ascii="Times New Roman" w:cs="Times New Roman" w:eastAsia="Times New Roman" w:hAnsi="Times New Roman"/>
          <w:sz w:val="16"/>
          <w:szCs w:val="16"/>
          <w:color w:val="auto"/>
        </w:rPr>
        <w:t>Since the enactment of the Import Ban Act and through the issuance of the Russian Decree, TENEX has continued to implement the TENEX Supply Contract while we pursue waivers from the DOE. However, we do not know what future actions, including in response to the Russian Decree, TENEX might take. If TENEX refuses to make future deliveries or otherwise suspends deliveries for an extended period under the TENEX Supply Contract, our delivery obligations to our customers would be negatively impacted, including a material adverse effect on the Company.</w:t>
      </w:r>
    </w:p>
    <w:p>
      <w:pPr>
        <w:spacing w:after="0" w:line="161" w:lineRule="exact"/>
        <w:rPr>
          <w:sz w:val="20"/>
          <w:szCs w:val="20"/>
          <w:color w:val="auto"/>
        </w:rPr>
      </w:pPr>
    </w:p>
    <w:p>
      <w:pPr>
        <w:ind w:right="20" w:firstLine="191"/>
        <w:spacing w:after="0" w:line="290" w:lineRule="auto"/>
        <w:rPr>
          <w:sz w:val="20"/>
          <w:szCs w:val="20"/>
          <w:color w:val="auto"/>
        </w:rPr>
      </w:pPr>
      <w:r>
        <w:rPr>
          <w:rFonts w:ascii="Times New Roman" w:cs="Times New Roman" w:eastAsia="Times New Roman" w:hAnsi="Times New Roman"/>
          <w:sz w:val="14"/>
          <w:szCs w:val="14"/>
          <w:color w:val="auto"/>
        </w:rPr>
        <w:t>On April 15, 2025, the President of the United States signed an Executive Order initiating a Department of Commerce investigation under Section 232 of the Trade Expansion Act of 1962, to determine whether imports of processed critical minerals, including uranium, and their derivative products threaten to impair national security. The Executive Order acknowledges the United States manufacturing and defense industrial bases’ dependence on foreign sources, which are at risk of long-term supply chain issues which may impact the United States’ access to critical minerals. The results of the investigation could result in an imposition of, or increase in tariffs, on these products or other trade restrictions from our international suppliers which could significantly increase our costs and have a material adverse effect on our financial position and results of operations. The administration may impose tariffs before the outcome of the referenced investigation or may decide not to impose tariffs if the outcome of the investigation would justify the imposition of tariffs.</w:t>
      </w:r>
    </w:p>
    <w:p>
      <w:pPr>
        <w:spacing w:after="0" w:line="148" w:lineRule="exact"/>
        <w:rPr>
          <w:sz w:val="20"/>
          <w:szCs w:val="20"/>
          <w:color w:val="auto"/>
        </w:rPr>
      </w:pPr>
    </w:p>
    <w:p>
      <w:pPr>
        <w:ind w:right="20" w:firstLine="191"/>
        <w:spacing w:after="0" w:line="265" w:lineRule="auto"/>
        <w:rPr>
          <w:sz w:val="20"/>
          <w:szCs w:val="20"/>
          <w:color w:val="auto"/>
        </w:rPr>
      </w:pPr>
      <w:r>
        <w:rPr>
          <w:rFonts w:ascii="Times New Roman" w:cs="Times New Roman" w:eastAsia="Times New Roman" w:hAnsi="Times New Roman"/>
          <w:sz w:val="14"/>
          <w:szCs w:val="14"/>
          <w:color w:val="auto"/>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For example, effective January 10, 2025, the U.S. Secretary of the Treasury, made a determination pursuant to section l(a)(i) of Executive Order 14024, to apply certain sanctions to any person determined, pursuant to that section, to operate or have operated in “the energy sector of the Russian Federation economy.” TENEX’s financial institutions have had challenges in accepting payments denominated in U.S. dollars and the Company and TENEX have agreed to delay certain payments under the TENEX Supply Contract as the parties review payment processing options. Additionally, on April 17, 2025, the Office of the United States Trade Representative (“USTR”) released a notice issuing the results of its investigation into China’s dominance in the maritime, logistics, and shipbuilding sectors pursuant to Section 302(a) of the Trade Act of 1974, as amended. The USTR imposed new service fees on Chinese-built vessels entering U.S. ports above certain capacity. Our shipper of Russian LEU from Russia to the U.S. uses ships manufactured in China which happen to be exempt from the new fees under this notice. However, these fees would be significant if they were to be imposed on our shipper of Russian LEU. If the USTR changes its position and does not exempt the type of vessel our shipper uses, then the additional fees imposed on our shipper for docking at U.S. ports would be cost prohibitive and would have a significant impact on our ability to transport Russian LEU and would also have a material adverse effect on our financial position and results of operations.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spacing w:after="0" w:line="318" w:lineRule="exact"/>
        <w:rPr>
          <w:sz w:val="20"/>
          <w:szCs w:val="20"/>
          <w:color w:val="auto"/>
        </w:rPr>
      </w:pPr>
    </w:p>
    <w:p>
      <w:pPr>
        <w:ind w:right="240" w:firstLine="191"/>
        <w:spacing w:after="0" w:line="273" w:lineRule="auto"/>
        <w:rPr>
          <w:sz w:val="20"/>
          <w:szCs w:val="20"/>
          <w:color w:val="auto"/>
        </w:rPr>
      </w:pPr>
      <w:r>
        <w:rPr>
          <w:rFonts w:ascii="Times New Roman" w:cs="Times New Roman" w:eastAsia="Times New Roman" w:hAnsi="Times New Roman"/>
          <w:sz w:val="16"/>
          <w:szCs w:val="16"/>
          <w:color w:val="auto"/>
        </w:rPr>
        <w:t>Given all the foregoing, we continue to monitor the situation closely in order to address the potential impact of any new sanctions, or restrictions on the Company or potential tariffs on products it imports or purchases from foreign suppliers and possible mitigation thereof.</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For further discussion of these risks and uncertainties,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Results</w:t>
      </w:r>
    </w:p>
    <w:p>
      <w:pPr>
        <w:spacing w:after="0" w:line="200" w:lineRule="exact"/>
        <w:rPr>
          <w:sz w:val="20"/>
          <w:szCs w:val="20"/>
          <w:color w:val="auto"/>
        </w:rPr>
      </w:pPr>
    </w:p>
    <w:p>
      <w:pPr>
        <w:ind w:right="280" w:firstLine="191"/>
        <w:spacing w:after="0" w:line="259" w:lineRule="auto"/>
        <w:rPr>
          <w:sz w:val="20"/>
          <w:szCs w:val="20"/>
          <w:color w:val="auto"/>
        </w:rPr>
      </w:pPr>
      <w:r>
        <w:rPr>
          <w:rFonts w:ascii="Times New Roman" w:cs="Times New Roman" w:eastAsia="Times New Roman" w:hAnsi="Times New Roman"/>
          <w:sz w:val="16"/>
          <w:szCs w:val="16"/>
          <w:color w:val="auto"/>
        </w:rPr>
        <w:t>Our revenue, operating results, and cash flows can fluctuate significantly from quarter to quarter and year to year. Our LEU segment backlog consists primarily of long-term, fixed commitment contracts and contingent sales commitments, and we have visibility on a significant portion of our revenue for 2025-2027.</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Our future operating results are subject to uncertainties that could affect results either positively or negatively. Among the factors that could affect our results are the following:</w:t>
      </w:r>
    </w:p>
    <w:p>
      <w:pPr>
        <w:spacing w:after="0" w:line="115" w:lineRule="exact"/>
        <w:rPr>
          <w:sz w:val="20"/>
          <w:szCs w:val="20"/>
          <w:color w:val="auto"/>
        </w:rPr>
      </w:pPr>
    </w:p>
    <w:p>
      <w:pPr>
        <w:ind w:left="500" w:hanging="250"/>
        <w:spacing w:after="0" w:line="259" w:lineRule="auto"/>
        <w:tabs>
          <w:tab w:leader="none" w:pos="4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waivers to allow us to import LEU from Russia in 2026 and 2027 so that we may continue supplying LEU to our customers, given the enactment of the Import Ban Act in May 2024;</w:t>
      </w:r>
    </w:p>
    <w:p>
      <w:pPr>
        <w:spacing w:after="0" w:line="59" w:lineRule="exact"/>
        <w:rPr>
          <w:rFonts w:ascii="Times New Roman" w:cs="Times New Roman" w:eastAsia="Times New Roman" w:hAnsi="Times New Roman"/>
          <w:sz w:val="16"/>
          <w:szCs w:val="16"/>
          <w:color w:val="auto"/>
        </w:rPr>
      </w:pPr>
    </w:p>
    <w:p>
      <w:pPr>
        <w:ind w:left="500" w:right="220" w:hanging="250"/>
        <w:spacing w:after="0" w:line="259" w:lineRule="auto"/>
        <w:tabs>
          <w:tab w:leader="none" w:pos="4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TENEX to timely obtain, and the willingness of TENEX to continue to request, additional permits to export LEU from Russia so that we may continue supplying LEU to our customers, given the enactment of the Russian Decree in November 2024;</w:t>
      </w:r>
    </w:p>
    <w:p>
      <w:pPr>
        <w:spacing w:after="0" w:line="59" w:lineRule="exact"/>
        <w:rPr>
          <w:rFonts w:ascii="Times New Roman" w:cs="Times New Roman" w:eastAsia="Times New Roman" w:hAnsi="Times New Roman"/>
          <w:sz w:val="16"/>
          <w:szCs w:val="16"/>
          <w:color w:val="auto"/>
        </w:rPr>
      </w:pPr>
    </w:p>
    <w:p>
      <w:pPr>
        <w:ind w:left="500" w:right="200" w:hanging="250"/>
        <w:spacing w:after="0" w:line="273" w:lineRule="auto"/>
        <w:tabs>
          <w:tab w:leader="none" w:pos="4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the LEU and energy markets, including pricing, demand, operations, government restrictions on imports, exports or investments, and regulations of our business and activities and those of our customers, suppliers, contractors, and subcontractors;</w:t>
      </w:r>
    </w:p>
    <w:p>
      <w:pPr>
        <w:spacing w:after="0" w:line="37" w:lineRule="exact"/>
        <w:rPr>
          <w:rFonts w:ascii="Times New Roman" w:cs="Times New Roman" w:eastAsia="Times New Roman" w:hAnsi="Times New Roman"/>
          <w:sz w:val="16"/>
          <w:szCs w:val="16"/>
          <w:color w:val="auto"/>
        </w:rPr>
      </w:pPr>
    </w:p>
    <w:p>
      <w:pPr>
        <w:ind w:left="500" w:right="460" w:hanging="250"/>
        <w:spacing w:after="0" w:line="340" w:lineRule="auto"/>
        <w:tabs>
          <w:tab w:leader="none" w:pos="49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Recently enacted tariffs and sanctions and the potential for additional tariffs, sanctions and other measures that restrict with whom we may transact or affect the importation, cost, sales or purchases of SWU or uranium or goods or services required for the sale, purchase, transportation or delivery of such SWU or uranium;</w:t>
      </w: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be awarded task orders under any of the HALEU Production Contract, LEU Production Contract or HALEU Deconversion Contract;</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or untimely U.S. government funding and government appropriations to support our IDIQ contracts with the U.S. federal government;</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uncertainty from new or rescinded executive orders or new or changes to interpretations of federal regulations;</w:t>
      </w:r>
    </w:p>
    <w:p>
      <w:pPr>
        <w:spacing w:after="0" w:line="81" w:lineRule="exact"/>
        <w:rPr>
          <w:rFonts w:ascii="Times New Roman" w:cs="Times New Roman" w:eastAsia="Times New Roman" w:hAnsi="Times New Roman"/>
          <w:sz w:val="16"/>
          <w:szCs w:val="16"/>
          <w:color w:val="auto"/>
        </w:rPr>
      </w:pPr>
    </w:p>
    <w:p>
      <w:pPr>
        <w:ind w:left="500" w:right="560" w:hanging="250"/>
        <w:spacing w:after="0" w:line="273" w:lineRule="auto"/>
        <w:tabs>
          <w:tab w:leader="none" w:pos="4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Armed conflicts, including the war in Ukraine, government actions and other events or third-party actions that disrupt supply chains, production, transportation, payments, and importation of nuclear materials or other critical supplies or services;</w:t>
      </w:r>
    </w:p>
    <w:p>
      <w:pPr>
        <w:spacing w:after="0" w:line="37"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terms of additional purchases or sales of SWU and uranium;</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customer orders, related deliveries, and purchases of LEU or LEU components;</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and future funding and demand for HALEU;</w:t>
      </w:r>
    </w:p>
    <w:p>
      <w:pPr>
        <w:spacing w:after="0" w:line="8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market conditions and other factors that may affect pension and benefit liabilities and the value of related assets;</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legal proceedings and other contingencies;</w:t>
      </w:r>
    </w:p>
    <w:p>
      <w:pPr>
        <w:spacing w:after="0" w:line="8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use of cash for strategic or financial initiatives;</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taken by customers and suppliers, including actions that might affect existing contracts;</w:t>
      </w:r>
    </w:p>
    <w:p>
      <w:pPr>
        <w:spacing w:after="0" w:line="81" w:lineRule="exact"/>
        <w:rPr>
          <w:rFonts w:ascii="Times New Roman" w:cs="Times New Roman" w:eastAsia="Times New Roman" w:hAnsi="Times New Roman"/>
          <w:sz w:val="16"/>
          <w:szCs w:val="16"/>
          <w:color w:val="auto"/>
        </w:rPr>
      </w:pPr>
    </w:p>
    <w:p>
      <w:pPr>
        <w:ind w:left="500" w:right="300" w:hanging="250"/>
        <w:spacing w:after="0" w:line="273" w:lineRule="auto"/>
        <w:tabs>
          <w:tab w:leader="none" w:pos="4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government’s ability to satisfy its obligations, including supplying government furnished equipment under its agreements with the Company or processing security clearances due to a shutdown or other reasons; and</w:t>
      </w:r>
    </w:p>
    <w:p>
      <w:pPr>
        <w:spacing w:after="0" w:line="48"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international trade, and other conditions impacting Centrus’ customers and the industry.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further discussion of these uncertainties,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00" w:top="757"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200" w:lineRule="exact"/>
        <w:rPr>
          <w:sz w:val="20"/>
          <w:szCs w:val="20"/>
          <w:color w:val="auto"/>
        </w:rPr>
      </w:pPr>
    </w:p>
    <w:p>
      <w:pPr>
        <w:ind w:right="160" w:firstLine="191"/>
        <w:spacing w:after="0" w:line="259" w:lineRule="auto"/>
        <w:rPr>
          <w:sz w:val="20"/>
          <w:szCs w:val="20"/>
          <w:color w:val="auto"/>
        </w:rPr>
      </w:pPr>
      <w:r>
        <w:rPr>
          <w:rFonts w:ascii="Times New Roman" w:cs="Times New Roman" w:eastAsia="Times New Roman" w:hAnsi="Times New Roman"/>
          <w:sz w:val="16"/>
          <w:szCs w:val="16"/>
          <w:color w:val="auto"/>
        </w:rPr>
        <w:t>The Company’s backlog is $3.6 billion and $3.7 billion as of June 30, 2025 and December 31, 2024, respectively, and extends to 2040. The backlog is recognized as revenue in future periods as work is performed or deliveries of SWU and uranium are made.</w:t>
      </w:r>
    </w:p>
    <w:p>
      <w:pPr>
        <w:spacing w:after="0" w:line="165"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Our backlog in the LEU segment extends to 2040. As of June 30, 2025 and December 31, 2024, our backlog was approximately $2.7 billion and $2.8 billion, respectively. The backlog is the estimated aggregate dollar amount of revenue for future SWU and uranium deliveries primarily under medium and long-term contracts with fixed commitments and approximately $2.1 billion in contingent LEU sales commitments, with $1.7 billion of the total under definitive agreements and $0.4 billion of the total subject to entering into definitive agreements, in support of potential construction of LEU production capacity at the Piketon, Ohio facility. The contingent sales commitments depend on our ability to secure substantial public and private investment necessary to build new enrichment capacity. The LEU segment backlog also includes approximately $0.2 billion of deferred revenue and advances from customers as of June 30, 2025, whereby customers have made advance payments to be applied against future deliveries. No orders in our backlog are considered at risk related to customer operations. However, these medium and long-term contracts are subject to significant risks and uncertainties, including existing import laws and restrictions such as the RSA, which limits imports of Russian uranium products into the United States and applies to our sales using material procured under the TENEX Supply Contract, as well as the potential for additional sanctions and other restrictions affecting the Company or its suppliers, in response to the evolving situation regarding the war in Ukraine.</w:t>
      </w:r>
    </w:p>
    <w:p>
      <w:pPr>
        <w:spacing w:after="0" w:line="180"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Our backlog in the Technical Solutions segment extends to 2034. As of both June 30, 2025 and December 31, 2024, our backlog is approximately $0.9 billion.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our remaining backlog would be reduced by the expected value of the cancelled contracts or forgone options.</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is no assurance that the revenues projected will be realized, or, if realized, will result in profits.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We have two reportable segments: the LEU segment and the Technical Solutions segment.</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Revenue from our LEU segment is derived primarily from the following:</w:t>
      </w:r>
    </w:p>
    <w:p>
      <w:pPr>
        <w:spacing w:after="0" w:line="124" w:lineRule="exact"/>
        <w:rPr>
          <w:sz w:val="20"/>
          <w:szCs w:val="20"/>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the SWU component of LEU,</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natural uranium hexafluoride, uranium concentrates or uranium conversion, and</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enriched uranium product that include both the natural uranium hexafluoride and SWU components of LEU.</w:t>
      </w:r>
    </w:p>
    <w:p>
      <w:pPr>
        <w:spacing w:after="0" w:line="187" w:lineRule="exact"/>
        <w:rPr>
          <w:sz w:val="20"/>
          <w:szCs w:val="20"/>
          <w:color w:val="auto"/>
        </w:rPr>
      </w:pPr>
    </w:p>
    <w:p>
      <w:pPr>
        <w:ind w:right="220" w:firstLine="191"/>
        <w:spacing w:after="0" w:line="273" w:lineRule="auto"/>
        <w:rPr>
          <w:sz w:val="20"/>
          <w:szCs w:val="20"/>
          <w:color w:val="auto"/>
        </w:rPr>
      </w:pPr>
      <w:r>
        <w:rPr>
          <w:rFonts w:ascii="Times New Roman" w:cs="Times New Roman" w:eastAsia="Times New Roman" w:hAnsi="Times New Roman"/>
          <w:sz w:val="16"/>
          <w:szCs w:val="16"/>
          <w:color w:val="auto"/>
        </w:rPr>
        <w:t>Our Technical Solutions segment revenue is primarily derived from the production of HALEU under the HALEU Operation Contract with DOE and technical, manufacturing, engineering, and operations services offered to public and private sector customers.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SWU and Uranium Sales</w:t>
      </w:r>
    </w:p>
    <w:p>
      <w:pPr>
        <w:spacing w:after="0" w:line="200" w:lineRule="exact"/>
        <w:rPr>
          <w:sz w:val="20"/>
          <w:szCs w:val="20"/>
          <w:color w:val="auto"/>
        </w:rPr>
      </w:pPr>
    </w:p>
    <w:p>
      <w:pPr>
        <w:ind w:right="80" w:firstLine="191"/>
        <w:spacing w:after="0" w:line="246" w:lineRule="auto"/>
        <w:rPr>
          <w:sz w:val="20"/>
          <w:szCs w:val="20"/>
          <w:color w:val="auto"/>
        </w:rPr>
      </w:pPr>
      <w:r>
        <w:rPr>
          <w:rFonts w:ascii="Times New Roman" w:cs="Times New Roman" w:eastAsia="Times New Roman" w:hAnsi="Times New Roman"/>
          <w:sz w:val="16"/>
          <w:szCs w:val="16"/>
          <w:color w:val="auto"/>
        </w:rPr>
        <w:t>Revenue from our LEU segment accounted for approximately 81% and 78% of our total revenue for the three and six months ended June 30, 2025, respectively. The majority of our customers are domestic and international utilities that operate nuclear power plants, with international sales constituting approximately 37% of revenue from our LEU segment since 2023.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to utilities and other nuclear fuel related companies are generally shorter-term, fixed-commitment contracts. Individual customer orders for the SWU component of LEU fulfilled in the six months ended June 30, 2025 averaged approximately $12.6 million per order. As a result, a relatively small shift in the timing of customer orders for LEU may cause significant variability in our operating results period over period.</w:t>
      </w:r>
    </w:p>
    <w:p>
      <w:pPr>
        <w:spacing w:after="0" w:line="176" w:lineRule="exact"/>
        <w:rPr>
          <w:sz w:val="20"/>
          <w:szCs w:val="20"/>
          <w:color w:val="auto"/>
        </w:rPr>
      </w:pPr>
    </w:p>
    <w:p>
      <w:pPr>
        <w:jc w:val="both"/>
        <w:ind w:right="400" w:firstLine="191"/>
        <w:spacing w:after="0" w:line="254" w:lineRule="auto"/>
        <w:rPr>
          <w:sz w:val="20"/>
          <w:szCs w:val="20"/>
          <w:color w:val="auto"/>
        </w:rPr>
      </w:pPr>
      <w:r>
        <w:rPr>
          <w:rFonts w:ascii="Times New Roman" w:cs="Times New Roman" w:eastAsia="Times New Roman" w:hAnsi="Times New Roman"/>
          <w:sz w:val="16"/>
          <w:szCs w:val="16"/>
          <w:color w:val="auto"/>
        </w:rPr>
        <w:t xml:space="preserve">Utility customers, in general, have the option to make payment but defer receipt of SWU and uranium products purchased from Centrus beyond the contractual sale period, resulting in the deferral of revenue recognition and related costs. Refer to Note 2, </w:t>
      </w:r>
      <w:r>
        <w:rPr>
          <w:rFonts w:ascii="Times New Roman" w:cs="Times New Roman" w:eastAsia="Times New Roman" w:hAnsi="Times New Roman"/>
          <w:sz w:val="16"/>
          <w:szCs w:val="16"/>
          <w:i w:val="1"/>
          <w:iCs w:val="1"/>
          <w:color w:val="auto"/>
        </w:rPr>
        <w:t>Revenue and Contracts with Customers,</w:t>
      </w:r>
      <w:r>
        <w:rPr>
          <w:rFonts w:ascii="Times New Roman" w:cs="Times New Roman" w:eastAsia="Times New Roman" w:hAnsi="Times New Roman"/>
          <w:sz w:val="16"/>
          <w:szCs w:val="16"/>
          <w:color w:val="auto"/>
        </w:rPr>
        <w:t xml:space="preserve"> of the Consolidated Financial Statements for further details.</w:t>
      </w:r>
    </w:p>
    <w:p>
      <w:pPr>
        <w:spacing w:after="0" w:line="169" w:lineRule="exact"/>
        <w:rPr>
          <w:sz w:val="20"/>
          <w:szCs w:val="20"/>
          <w:color w:val="auto"/>
        </w:rPr>
      </w:pPr>
    </w:p>
    <w:p>
      <w:pPr>
        <w:ind w:firstLine="191"/>
        <w:spacing w:after="0" w:line="292" w:lineRule="auto"/>
        <w:rPr>
          <w:sz w:val="20"/>
          <w:szCs w:val="20"/>
          <w:color w:val="auto"/>
        </w:rPr>
      </w:pPr>
      <w:r>
        <w:rPr>
          <w:rFonts w:ascii="Times New Roman" w:cs="Times New Roman" w:eastAsia="Times New Roman" w:hAnsi="Times New Roman"/>
          <w:sz w:val="14"/>
          <w:szCs w:val="14"/>
          <w:color w:val="auto"/>
        </w:rPr>
        <w:t>Our financial performance over time can be affected significantly by changes in prices for SWU and natural uranium hexafluoride. Market prices for SWU and uranium significantly declined from 2011 until mid-2018, when they began to trend upward. More recently, market uncertainty in the wake of the war in Ukraine has driven SWU and natural</w:t>
      </w:r>
    </w:p>
    <w:p>
      <w:pPr>
        <w:spacing w:after="0" w:line="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6"/>
          <w:szCs w:val="16"/>
          <w:color w:val="auto"/>
        </w:rPr>
        <w:t>uranium hexafluoride prices sharply higher. Since our backlog includes contracts awarded to us in previous years, the average SWU price billed to customers typically lags published price indicators by several years. Revenue in our LEU business varies based upon the timing of customer contracts. The pricing of deliveries varies depending upon the market conditions at the time the contract was signed and may not reflect current market prices.</w:t>
      </w:r>
    </w:p>
    <w:p>
      <w:pPr>
        <w:spacing w:after="0" w:line="169" w:lineRule="exact"/>
        <w:rPr>
          <w:sz w:val="20"/>
          <w:szCs w:val="20"/>
          <w:color w:val="auto"/>
        </w:rPr>
      </w:pPr>
    </w:p>
    <w:p>
      <w:pPr>
        <w:ind w:right="20" w:firstLine="191"/>
        <w:spacing w:after="0" w:line="293" w:lineRule="auto"/>
        <w:rPr>
          <w:sz w:val="20"/>
          <w:szCs w:val="20"/>
          <w:color w:val="auto"/>
        </w:rPr>
      </w:pPr>
      <w:r>
        <w:rPr>
          <w:rFonts w:ascii="Times New Roman" w:cs="Times New Roman" w:eastAsia="Times New Roman" w:hAnsi="Times New Roman"/>
          <w:sz w:val="14"/>
          <w:szCs w:val="14"/>
          <w:color w:val="auto"/>
        </w:rPr>
        <w:t>The Import Ban Act, which bans the importation of LEU from Russia, may severely limit importation through 2027, unless we are successful in securing waivers for 2026 and 2027, and will cut off supply of LEU from Russia after 2027. Notwithstanding our ability to obtain waivers under the Import Ban Act, the Russian Decree, which prohibits the exportation of Russian LEU from Russia unless TENEX secures a permit for each shipment, may severely limit exportation of LEU from Russia through December 31, 2025. This has drawn attention to the potential for significant tightening of supplies in the market. Russian enrichment plants represent 44% of the world’s capacity, and Russian capacity significantly exceeds its domestic needs. According to data from the WNA, the annual enrichment requirements of reactors worldwide outside of Russia vastly exceeds the available supply of non-Russian enrichment, which potentially threatens the viability of some reactors, including those in the United States. While inventories and increased production at non-Russian plants may partially mitigate the shortfall, these options would not fully replace Russian supply. Deployment of new capacity ultimately could replace Russian enrichment, but this capacity will take a number of years and significant funding from private and/or government sources to come online. Centrus is seeking public and private funding to deploy new production capacity at its Piketon, Ohio, plant to help meet the need for new, domestic supplies of enriched uranium.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4" w:name="page45"/>
    <w:bookmarkEnd w:id="44"/>
    <w:p>
      <w:pPr>
        <w:ind w:left="200"/>
        <w:spacing w:after="0"/>
        <w:rPr>
          <w:sz w:val="20"/>
          <w:szCs w:val="20"/>
          <w:color w:val="auto"/>
        </w:rPr>
      </w:pPr>
      <w:r>
        <w:rPr>
          <w:rFonts w:ascii="Times New Roman" w:cs="Times New Roman" w:eastAsia="Times New Roman" w:hAnsi="Times New Roman"/>
          <w:sz w:val="16"/>
          <w:szCs w:val="16"/>
          <w:color w:val="auto"/>
        </w:rPr>
        <w:t>The following chart summarizes SWU long-term price and SWU and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spot price indicators, as published by TradeTech, LLC in </w:t>
      </w:r>
      <w:r>
        <w:rPr>
          <w:rFonts w:ascii="Times New Roman" w:cs="Times New Roman" w:eastAsia="Times New Roman" w:hAnsi="Times New Roman"/>
          <w:sz w:val="16"/>
          <w:szCs w:val="16"/>
          <w:i w:val="1"/>
          <w:iCs w:val="1"/>
          <w:color w:val="auto"/>
        </w:rPr>
        <w:t>Nuclear Market Review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SWU and Uranium Market Price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132080</wp:posOffset>
            </wp:positionV>
            <wp:extent cx="4378960" cy="3031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78960" cy="303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 Source: </w:t>
      </w:r>
      <w:r>
        <w:rPr>
          <w:rFonts w:ascii="Times New Roman" w:cs="Times New Roman" w:eastAsia="Times New Roman" w:hAnsi="Times New Roman"/>
          <w:sz w:val="14"/>
          <w:szCs w:val="14"/>
          <w:i w:val="1"/>
          <w:iCs w:val="1"/>
          <w:color w:val="auto"/>
        </w:rPr>
        <w:t>Nuclear Market Review</w:t>
      </w:r>
      <w:r>
        <w:rPr>
          <w:rFonts w:ascii="Times New Roman" w:cs="Times New Roman" w:eastAsia="Times New Roman" w:hAnsi="Times New Roman"/>
          <w:sz w:val="14"/>
          <w:szCs w:val="14"/>
          <w:color w:val="auto"/>
        </w:rPr>
        <w:t>, a TradeTech publication, www.uranium.info</w:t>
      </w:r>
    </w:p>
    <w:p>
      <w:pPr>
        <w:spacing w:after="0" w:line="389"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Our contracts with customers are denominated primarily in U.S. dollars, and, although revenue has not been materially affected by changes in the foreign exchange rate of the U.S. dollar, we may have a competitive price advantage or disadvantage in obtaining new contracts in a competitive bidding process depending upon the weakness or strength of the U.S. dollar. Under a customer contract that commenced deliveries in 2023, payments are denominated in euros, and subject to exchange rate risk. Costs of our primary competitors are denominated in other currencies. Our contracts with suppliers are primarily denominated in U.S. dollars. We have a SWU supply agreement, that commenced in 2023, with prices payable in a combination of U.S. dollars and euros but with a contract-defined exchange rate.</w:t>
      </w:r>
    </w:p>
    <w:p>
      <w:pPr>
        <w:spacing w:after="0" w:line="163" w:lineRule="exact"/>
        <w:rPr>
          <w:sz w:val="20"/>
          <w:szCs w:val="20"/>
          <w:color w:val="auto"/>
        </w:rPr>
      </w:pPr>
    </w:p>
    <w:p>
      <w:pPr>
        <w:ind w:right="260" w:firstLine="191"/>
        <w:spacing w:after="0" w:line="346" w:lineRule="auto"/>
        <w:rPr>
          <w:sz w:val="20"/>
          <w:szCs w:val="20"/>
          <w:color w:val="auto"/>
        </w:rPr>
      </w:pPr>
      <w:r>
        <w:rPr>
          <w:rFonts w:ascii="Times New Roman" w:cs="Times New Roman" w:eastAsia="Times New Roman" w:hAnsi="Times New Roman"/>
          <w:sz w:val="14"/>
          <w:szCs w:val="14"/>
          <w:color w:val="auto"/>
        </w:rPr>
        <w:t>On occasion, we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00" w:right="359" w:bottom="1440" w:gutter="0" w:footer="0" w:header="0"/>
        </w:sectPr>
      </w:pPr>
    </w:p>
    <w:bookmarkStart w:id="45" w:name="page46"/>
    <w:bookmarkEnd w:id="45"/>
    <w:p>
      <w:pPr>
        <w:ind w:right="100" w:firstLine="191"/>
        <w:spacing w:after="0" w:line="254" w:lineRule="auto"/>
        <w:rPr>
          <w:sz w:val="20"/>
          <w:szCs w:val="20"/>
          <w:color w:val="auto"/>
        </w:rPr>
      </w:pPr>
      <w:r>
        <w:rPr>
          <w:rFonts w:ascii="Times New Roman" w:cs="Times New Roman" w:eastAsia="Times New Roman" w:hAnsi="Times New Roman"/>
          <w:sz w:val="16"/>
          <w:szCs w:val="16"/>
          <w:color w:val="auto"/>
        </w:rPr>
        <w:t>Cost of sales for SWU and uranium is based on the amount of SWU and uranium hexafluoride sold and delivered during the period and unit inventory costs, which are determined using the average cost method. Changes in purchase costs have an effect on inventory costs and cost of sales. Cost of sales includes costs for inventory management at off-site licensed locations, as well as, certain legacy costs related to former employees of the Portsmouth GDP and Paducah GDP.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Technical Solutions</w:t>
      </w:r>
    </w:p>
    <w:p>
      <w:pPr>
        <w:spacing w:after="0" w:line="18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fuel-related components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7"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189" w:lineRule="exact"/>
        <w:rPr>
          <w:sz w:val="20"/>
          <w:szCs w:val="20"/>
          <w:color w:val="auto"/>
        </w:rPr>
      </w:pPr>
    </w:p>
    <w:p>
      <w:pPr>
        <w:ind w:right="100" w:firstLine="191"/>
        <w:spacing w:after="0" w:line="273" w:lineRule="auto"/>
        <w:rPr>
          <w:sz w:val="20"/>
          <w:szCs w:val="20"/>
          <w:color w:val="auto"/>
        </w:rPr>
      </w:pPr>
      <w:r>
        <w:rPr>
          <w:rFonts w:ascii="Times New Roman" w:cs="Times New Roman" w:eastAsia="Times New Roman" w:hAnsi="Times New Roman"/>
          <w:sz w:val="16"/>
          <w:szCs w:val="16"/>
          <w:color w:val="auto"/>
        </w:rPr>
        <w:t>The following tables present elements of the accompanying Consolidated Statements of Operations and Comprehensive Income that are categorized by segment (dollar amounts in millions):</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June 30, 2025 Compared with Three Months Ended June 30, 2024</w:t>
      </w:r>
    </w:p>
    <w:p>
      <w:pPr>
        <w:spacing w:after="0" w:line="2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8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LEU segment</w:t>
            </w: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7"/>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4"/>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SWU revenue</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7"/>
        </w:trPr>
        <w:tc>
          <w:tcPr>
            <w:tcW w:w="3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Uranium revenue</w:t>
            </w:r>
          </w:p>
        </w:tc>
        <w:tc>
          <w:tcPr>
            <w:tcW w:w="106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74"/>
        </w:trPr>
        <w:tc>
          <w:tcPr>
            <w:tcW w:w="38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0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4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7"/>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9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50.7</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33.0</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43"/>
        </w:trPr>
        <w:tc>
          <w:tcPr>
            <w:tcW w:w="3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Technical Solutions segment</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7"/>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60" w:type="dxa"/>
            <w:vAlign w:val="bottom"/>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20" w:type="dxa"/>
            <w:vAlign w:val="bottom"/>
          </w:tcPr>
          <w:p>
            <w:pPr>
              <w:spacing w:after="0"/>
              <w:rPr>
                <w:sz w:val="15"/>
                <w:szCs w:val="15"/>
                <w:color w:val="auto"/>
              </w:rPr>
            </w:pPr>
          </w:p>
        </w:tc>
        <w:tc>
          <w:tcPr>
            <w:tcW w:w="1060" w:type="dxa"/>
            <w:vAlign w:val="bottom"/>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00" w:type="dxa"/>
            <w:vAlign w:val="bottom"/>
          </w:tcPr>
          <w:p>
            <w:pPr>
              <w:spacing w:after="0"/>
              <w:rPr>
                <w:sz w:val="15"/>
                <w:szCs w:val="15"/>
                <w:color w:val="auto"/>
              </w:rPr>
            </w:pP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48 %</w:t>
            </w: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2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61 %</w:t>
            </w:r>
          </w:p>
        </w:tc>
      </w:tr>
      <w:tr>
        <w:trPr>
          <w:trHeight w:val="174"/>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6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63"/>
        </w:trPr>
        <w:tc>
          <w:tcPr>
            <w:tcW w:w="3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9"/>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7"/>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152.5</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9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53.9</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36.5</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89" w:lineRule="exact"/>
        <w:rPr>
          <w:sz w:val="20"/>
          <w:szCs w:val="20"/>
          <w:color w:val="auto"/>
        </w:rPr>
      </w:pPr>
    </w:p>
    <w:p>
      <w:pPr>
        <w:jc w:val="both"/>
        <w:ind w:right="140" w:firstLine="191"/>
        <w:spacing w:after="0" w:line="254" w:lineRule="auto"/>
        <w:rPr>
          <w:sz w:val="20"/>
          <w:szCs w:val="20"/>
          <w:color w:val="auto"/>
        </w:rPr>
      </w:pPr>
      <w:r>
        <w:rPr>
          <w:rFonts w:ascii="Times New Roman" w:cs="Times New Roman" w:eastAsia="Times New Roman" w:hAnsi="Times New Roman"/>
          <w:sz w:val="16"/>
          <w:szCs w:val="16"/>
          <w:color w:val="auto"/>
        </w:rPr>
        <w:t>Revenue from the LEU segment was $125.7 million and $169.6 million for the three months ended June 30, 2025 and 2024, respectively, a decrease of $43.9 million (or 26%). Uranium revenue decreased by $29.9 million as a result of a decrease in the volume of uranium sold. SWU revenue decreased by $14.0 million as a result of a 27% decrease in the volume of SWU sold, partially offset by a 24% increase in the average price of SWU sold.</w:t>
      </w:r>
    </w:p>
    <w:p>
      <w:pPr>
        <w:spacing w:after="0" w:line="169" w:lineRule="exact"/>
        <w:rPr>
          <w:sz w:val="20"/>
          <w:szCs w:val="20"/>
          <w:color w:val="auto"/>
        </w:rPr>
      </w:pPr>
    </w:p>
    <w:p>
      <w:pPr>
        <w:jc w:val="both"/>
        <w:ind w:firstLine="191"/>
        <w:spacing w:after="0" w:line="307" w:lineRule="auto"/>
        <w:rPr>
          <w:sz w:val="20"/>
          <w:szCs w:val="20"/>
          <w:color w:val="auto"/>
        </w:rPr>
      </w:pPr>
      <w:r>
        <w:rPr>
          <w:rFonts w:ascii="Times New Roman" w:cs="Times New Roman" w:eastAsia="Times New Roman" w:hAnsi="Times New Roman"/>
          <w:sz w:val="14"/>
          <w:szCs w:val="14"/>
          <w:color w:val="auto"/>
        </w:rPr>
        <w:t>Revenue from the Technical Solutions segment was $28.8 million and $19.4 million for the three months ended June 30, 2025 and 2024, respectively, an increase of $9.4 million (or 48%). The increase in revenue is primarily attributable to a $9.1 million increase in revenue generated by the HALEU Operation Contract, while the remaining increase is related to other contracts. Revenue from the HALEU Operation Contract is recorded on a cost-plus-incentive-fee basis and includes a target fee for Phase 2 of the contract.</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Cost of Sales</w:t>
      </w:r>
    </w:p>
    <w:p>
      <w:pPr>
        <w:spacing w:after="0" w:line="189" w:lineRule="exact"/>
        <w:rPr>
          <w:sz w:val="20"/>
          <w:szCs w:val="20"/>
          <w:color w:val="auto"/>
        </w:rPr>
      </w:pPr>
    </w:p>
    <w:p>
      <w:pPr>
        <w:ind w:right="120" w:firstLine="191"/>
        <w:spacing w:after="0" w:line="252" w:lineRule="auto"/>
        <w:rPr>
          <w:sz w:val="20"/>
          <w:szCs w:val="20"/>
          <w:color w:val="auto"/>
        </w:rPr>
      </w:pPr>
      <w:r>
        <w:rPr>
          <w:rFonts w:ascii="Times New Roman" w:cs="Times New Roman" w:eastAsia="Times New Roman" w:hAnsi="Times New Roman"/>
          <w:sz w:val="16"/>
          <w:szCs w:val="16"/>
          <w:color w:val="auto"/>
        </w:rPr>
        <w:t>Cost of sales for the LEU segment was $75.0 million and $136.6 million for the three months ended June 30, 2025 and 2024, respectively, a decrease of $61.6 million (or 45%). SWU costs decreased as a result of a 27% decrease in the volume of SWU sold and an 8% decrease in the average unit cost of SWU sold. Uranium costs decreased primarily as a result of a decrease in the volume of uranium sold. Cost of sales for both the three months ended June 30, 2025 and 2024, included $1.5 million for the revaluation of inventory loans.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7" w:name="page48"/>
    <w:bookmarkEnd w:id="47"/>
    <w:p>
      <w:pPr>
        <w:ind w:right="320" w:firstLine="191"/>
        <w:spacing w:after="0" w:line="273" w:lineRule="auto"/>
        <w:rPr>
          <w:sz w:val="20"/>
          <w:szCs w:val="20"/>
          <w:color w:val="auto"/>
        </w:rPr>
      </w:pPr>
      <w:r>
        <w:rPr>
          <w:rFonts w:ascii="Times New Roman" w:cs="Times New Roman" w:eastAsia="Times New Roman" w:hAnsi="Times New Roman"/>
          <w:sz w:val="16"/>
          <w:szCs w:val="16"/>
          <w:color w:val="auto"/>
        </w:rPr>
        <w:t>Cost of sales for the Technical Solutions segment was $25.6 million and $15.9 million for the three months ended June 30, 2025 and 2024, respectively, an increase of $9.7 million (or 61%). The increase is primarily attributable to a $9.7 million increase in costs incurred under the HALEU Operation Contract.</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200" w:lineRule="exact"/>
        <w:rPr>
          <w:sz w:val="20"/>
          <w:szCs w:val="20"/>
          <w:color w:val="auto"/>
        </w:rPr>
      </w:pPr>
    </w:p>
    <w:p>
      <w:pPr>
        <w:jc w:val="both"/>
        <w:ind w:right="100" w:firstLine="191"/>
        <w:spacing w:after="0" w:line="252" w:lineRule="auto"/>
        <w:rPr>
          <w:sz w:val="20"/>
          <w:szCs w:val="20"/>
          <w:color w:val="auto"/>
        </w:rPr>
      </w:pPr>
      <w:r>
        <w:rPr>
          <w:rFonts w:ascii="Times New Roman" w:cs="Times New Roman" w:eastAsia="Times New Roman" w:hAnsi="Times New Roman"/>
          <w:sz w:val="16"/>
          <w:szCs w:val="16"/>
          <w:color w:val="auto"/>
        </w:rPr>
        <w:t>Gross profit for the LEU segment was $50.7 million and $33.0 million for the three months ended June 30, 2025 and 2024, respectively, an increase of $17.7 million (or 54%). LEU customers generally have multi-year contracts that carry annual purchase commitments, not quarterly commitments. The gross profit in our LEU business varies based upon the timing of those contracts. The pricing applied to deliveries varies depending upon the market conditions at the time the contract was signed. The increase for the three months ended June 30, 2025 was due to the composition of contracts in the current quarter, compared to the prior quarter.</w:t>
      </w:r>
    </w:p>
    <w:p>
      <w:pPr>
        <w:spacing w:after="0" w:line="161"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Gross profit for the Technical Solutions segment was $3.2 million and $3.5 million for the three months ended June 30, 2025 and 2024, respectively, a decrease of $0.3 million (or 9%). The decrease was primarily attributable to the factors discussed above. Because of the delay in completing Phase 2 of the HALEU Operation Contract, in November 2024, DOE extended the Phase 2 period of performance to June 30, 2025. Costs incurred subsequent to the extension have not yet been subject to a fee as this portion of Phase 2 remains undefinitized and is subject to negotiation.</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Six Months Ended June 30, 2025 Compared with Six Months Ended June 30, 2024</w:t>
      </w:r>
    </w:p>
    <w:p>
      <w:pPr>
        <w:spacing w:after="0" w:line="21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4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LEU segment</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7"/>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SWU revenue</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13.7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77"/>
        </w:trPr>
        <w:tc>
          <w:tcPr>
            <w:tcW w:w="4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Uranium revenue</w:t>
            </w:r>
          </w:p>
        </w:tc>
        <w:tc>
          <w:tcPr>
            <w:tcW w:w="104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(29.9)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74"/>
        </w:trPr>
        <w:tc>
          <w:tcPr>
            <w:tcW w:w="45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0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(16.2)</w:t>
            </w:r>
          </w:p>
        </w:tc>
        <w:tc>
          <w:tcPr>
            <w:tcW w:w="14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159.7</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(64.6)</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99"/>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4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81.9</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33.5</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48.4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144 %</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43"/>
        </w:trPr>
        <w:tc>
          <w:tcPr>
            <w:tcW w:w="4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Technical Solutions segment</w:t>
            </w: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7"/>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40" w:type="dxa"/>
            <w:vAlign w:val="bottom"/>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40" w:type="dxa"/>
            <w:vAlign w:val="bottom"/>
          </w:tcPr>
          <w:p>
            <w:pPr>
              <w:spacing w:after="0"/>
              <w:rPr>
                <w:sz w:val="15"/>
                <w:szCs w:val="15"/>
                <w:color w:val="auto"/>
              </w:rPr>
            </w:pPr>
          </w:p>
        </w:tc>
        <w:tc>
          <w:tcPr>
            <w:tcW w:w="1020" w:type="dxa"/>
            <w:vAlign w:val="bottom"/>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200" w:type="dxa"/>
            <w:vAlign w:val="bottom"/>
          </w:tcPr>
          <w:p>
            <w:pPr>
              <w:spacing w:after="0"/>
              <w:rPr>
                <w:sz w:val="15"/>
                <w:szCs w:val="15"/>
                <w:color w:val="auto"/>
              </w:rPr>
            </w:pP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11.1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2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13.5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r>
      <w:tr>
        <w:trPr>
          <w:trHeight w:val="174"/>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63"/>
        </w:trPr>
        <w:tc>
          <w:tcPr>
            <w:tcW w:w="4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9"/>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232.7</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(5.1)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191.9</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(51.1)</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99"/>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4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86.8</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40.8</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46.0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113 %</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89" w:lineRule="exact"/>
        <w:rPr>
          <w:sz w:val="20"/>
          <w:szCs w:val="20"/>
          <w:color w:val="auto"/>
        </w:rPr>
      </w:pPr>
    </w:p>
    <w:p>
      <w:pPr>
        <w:ind w:right="100" w:firstLine="191"/>
        <w:spacing w:after="0" w:line="261" w:lineRule="auto"/>
        <w:rPr>
          <w:sz w:val="20"/>
          <w:szCs w:val="20"/>
          <w:color w:val="auto"/>
        </w:rPr>
      </w:pPr>
      <w:r>
        <w:rPr>
          <w:rFonts w:ascii="Times New Roman" w:cs="Times New Roman" w:eastAsia="Times New Roman" w:hAnsi="Times New Roman"/>
          <w:sz w:val="16"/>
          <w:szCs w:val="16"/>
          <w:color w:val="auto"/>
        </w:rPr>
        <w:t>Revenue from the LEU segment was $177.0 million and $193.2 million for the six months ended June 30, 2025 and 2024, respectively, a decrease of $16.2 million (or 8%). Uranium revenue decreased by $29.9 million as a result of a decrease in the volume of uranium sold. SWU revenue increased by $13.7 million as a result of a 24% increase in the average price of SWU sold, partially offset by a 12% decrease in the volume of SWU sold.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57" w:right="419" w:bottom="1440" w:gutter="0" w:footer="0" w:header="0"/>
        </w:sectPr>
      </w:pPr>
    </w:p>
    <w:bookmarkStart w:id="48" w:name="page49"/>
    <w:bookmarkEnd w:id="48"/>
    <w:p>
      <w:pPr>
        <w:ind w:right="80" w:firstLine="191"/>
        <w:spacing w:after="0" w:line="307" w:lineRule="auto"/>
        <w:rPr>
          <w:sz w:val="20"/>
          <w:szCs w:val="20"/>
          <w:color w:val="auto"/>
        </w:rPr>
      </w:pPr>
      <w:r>
        <w:rPr>
          <w:rFonts w:ascii="Times New Roman" w:cs="Times New Roman" w:eastAsia="Times New Roman" w:hAnsi="Times New Roman"/>
          <w:sz w:val="14"/>
          <w:szCs w:val="14"/>
          <w:color w:val="auto"/>
        </w:rPr>
        <w:t>Revenue from the Technical Solutions segment was $50.6 million and $39.5 million for the six months ended June 30, 2025 and 2024, respectively, an increase of $11.1 million (or 28%). The increase in revenue is primarily attributable to a $11.0 million increase in revenue generated by the HALEU Operation Contract, while the remaining increase is related to other contracts. Revenue from the HALEU Operation Contract is recorded on a cost-plus-incentive-fee basis and includes a target fee for Phase 2 of the contract.</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Cost of Sales</w:t>
      </w:r>
    </w:p>
    <w:p>
      <w:pPr>
        <w:spacing w:after="0" w:line="189" w:lineRule="exact"/>
        <w:rPr>
          <w:sz w:val="20"/>
          <w:szCs w:val="20"/>
          <w:color w:val="auto"/>
        </w:rPr>
      </w:pPr>
    </w:p>
    <w:p>
      <w:pPr>
        <w:ind w:right="180" w:firstLine="191"/>
        <w:spacing w:after="0" w:line="252" w:lineRule="auto"/>
        <w:rPr>
          <w:sz w:val="20"/>
          <w:szCs w:val="20"/>
          <w:color w:val="auto"/>
        </w:rPr>
      </w:pPr>
      <w:r>
        <w:rPr>
          <w:rFonts w:ascii="Times New Roman" w:cs="Times New Roman" w:eastAsia="Times New Roman" w:hAnsi="Times New Roman"/>
          <w:sz w:val="16"/>
          <w:szCs w:val="16"/>
          <w:color w:val="auto"/>
        </w:rPr>
        <w:t>Cost of sales for the LEU segment was $95.1 million and $159.7 million for the six months ended June 30, 2025 and 2024, respectively, a decrease of $64.6 million (or 40%). SWU costs decreased as a result of a 22% decrease in the average unit cost of SWU sold and a 12% decrease in the volume of SWU sold. Uranium costs decreased primarily as a result of a decrease in the volume of uranium sold. Cost of sales for the six months ended June 30, 2025 and 2024, included $3.6 million and $1.8 million, respectively, for the revaluation of inventory loans.</w:t>
      </w:r>
    </w:p>
    <w:p>
      <w:pPr>
        <w:spacing w:after="0" w:line="172" w:lineRule="exact"/>
        <w:rPr>
          <w:sz w:val="20"/>
          <w:szCs w:val="20"/>
          <w:color w:val="auto"/>
        </w:rPr>
      </w:pPr>
    </w:p>
    <w:p>
      <w:pPr>
        <w:ind w:right="260" w:firstLine="191"/>
        <w:spacing w:after="0" w:line="254" w:lineRule="auto"/>
        <w:rPr>
          <w:sz w:val="20"/>
          <w:szCs w:val="20"/>
          <w:color w:val="auto"/>
        </w:rPr>
      </w:pPr>
      <w:r>
        <w:rPr>
          <w:rFonts w:ascii="Times New Roman" w:cs="Times New Roman" w:eastAsia="Times New Roman" w:hAnsi="Times New Roman"/>
          <w:sz w:val="16"/>
          <w:szCs w:val="16"/>
          <w:color w:val="auto"/>
        </w:rPr>
        <w:t>Cost of sales for the Technical Solutions segment was $45.7 million and $32.2 million for the six months ended June 30, 2025 and 2024, respectively, an increase of $13.5 million (or 42%). The increase is primarily attributable to a $13.8 million increase in costs incurred under the HALEU Operation Contract, partially offset by a decrease in costs related to other contracts.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189" w:lineRule="exact"/>
        <w:rPr>
          <w:sz w:val="20"/>
          <w:szCs w:val="20"/>
          <w:color w:val="auto"/>
        </w:rPr>
      </w:pPr>
    </w:p>
    <w:p>
      <w:pPr>
        <w:ind w:right="160" w:firstLine="191"/>
        <w:spacing w:after="0" w:line="252" w:lineRule="auto"/>
        <w:rPr>
          <w:sz w:val="20"/>
          <w:szCs w:val="20"/>
          <w:color w:val="auto"/>
        </w:rPr>
      </w:pPr>
      <w:r>
        <w:rPr>
          <w:rFonts w:ascii="Times New Roman" w:cs="Times New Roman" w:eastAsia="Times New Roman" w:hAnsi="Times New Roman"/>
          <w:sz w:val="16"/>
          <w:szCs w:val="16"/>
          <w:color w:val="auto"/>
        </w:rPr>
        <w:t>Gross profit for the LEU segment was $81.9 million and $33.5 million for the six months ended June 30, 2025 and 2024, respectively, an increase of $48.4 million (or 144%). LEU customers generally have multi-year contracts that carry annual purchase commitments, not quarterly commitments. The gross profit in our LEU business varies based upon the timing of those contracts. The pricing applied to deliveries varies depending upon the market conditions at the time the contract was signed. The increase for the six months ended June 30, 2025 was due to the composition of contracts in the period.</w:t>
      </w:r>
    </w:p>
    <w:p>
      <w:pPr>
        <w:spacing w:after="0" w:line="172"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Gross profit for the Technical Solutions segment was $4.9 million and $7.3 million for the six months ended June 30, 2025 and 2024, respectively, a decrease of $2.4 million (or 33%). The decrease was primarily attributable to the factors discussed above. Because of the delay in completing Phase 2 of the HALEU Operation Contract, in November 2024, DOE extended Phase 2 to June 30, 2025. Costs incurred subsequent to the extension have not yet been subject to a fee as this portion of Phase 2 remains undefinitized and is subject to negotiation.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49" w:name="page50"/>
    <w:bookmarkEnd w:id="49"/>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Non-Segment Information</w:t>
      </w:r>
    </w:p>
    <w:p>
      <w:pPr>
        <w:spacing w:after="0" w:line="200" w:lineRule="exact"/>
        <w:rPr>
          <w:sz w:val="20"/>
          <w:szCs w:val="20"/>
          <w:color w:val="auto"/>
        </w:rPr>
      </w:pPr>
    </w:p>
    <w:p>
      <w:pPr>
        <w:ind w:right="380" w:firstLine="191"/>
        <w:spacing w:after="0" w:line="259" w:lineRule="auto"/>
        <w:rPr>
          <w:sz w:val="20"/>
          <w:szCs w:val="20"/>
          <w:color w:val="auto"/>
        </w:rPr>
      </w:pPr>
      <w:r>
        <w:rPr>
          <w:rFonts w:ascii="Times New Roman" w:cs="Times New Roman" w:eastAsia="Times New Roman" w:hAnsi="Times New Roman"/>
          <w:sz w:val="16"/>
          <w:szCs w:val="16"/>
          <w:color w:val="auto"/>
        </w:rPr>
        <w:t>The following tables present elements of the accompanying Consolidated Statements of Operations and Comprehensive Income that are not categorized by segment (dollar amounts in millions):</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June 30, 2025 Compared with Three Months Ended June 30, 2024</w:t>
      </w:r>
    </w:p>
    <w:p>
      <w:pPr>
        <w:spacing w:after="0" w:line="2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r>
      <w:tr>
        <w:trPr>
          <w:trHeight w:val="17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Advanced technology costs</w:t>
            </w: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8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7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Stock compensation</w:t>
            </w: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740 %</w:t>
            </w:r>
          </w:p>
        </w:tc>
      </w:tr>
      <w:tr>
        <w:trPr>
          <w:trHeight w:val="18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Operating loss</w:t>
            </w:r>
          </w:p>
        </w:tc>
        <w:tc>
          <w:tcPr>
            <w:tcW w:w="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59 %</w:t>
            </w:r>
          </w:p>
        </w:tc>
      </w:tr>
      <w:tr>
        <w:trPr>
          <w:trHeight w:val="18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Nonoperating components of net periodic benefit loss (income)</w:t>
            </w: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106 %</w:t>
            </w:r>
          </w:p>
        </w:tc>
      </w:tr>
      <w:tr>
        <w:trPr>
          <w:trHeight w:val="17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933 %</w:t>
            </w:r>
          </w:p>
        </w:tc>
      </w:tr>
      <w:tr>
        <w:trPr>
          <w:trHeight w:val="18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9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68"/>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benefit</w:t>
            </w:r>
          </w:p>
        </w:tc>
        <w:tc>
          <w:tcPr>
            <w:tcW w:w="9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4"/>
        </w:trPr>
        <w:tc>
          <w:tcPr>
            <w:tcW w:w="4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and comprehensive income</w:t>
            </w: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28.9</w:t>
            </w:r>
          </w:p>
        </w:tc>
        <w:tc>
          <w:tcPr>
            <w:tcW w:w="200" w:type="dxa"/>
            <w:vAlign w:val="bottom"/>
          </w:tcPr>
          <w:p>
            <w:pPr>
              <w:spacing w:after="0"/>
              <w:rPr>
                <w:sz w:val="15"/>
                <w:szCs w:val="15"/>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30.6</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Selling, General and Administrative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Selling, general and administrative costs were $9.2 million and $7.1 million for the six months ended June 30, 2025 and 2024, respectively, an increase of $2.1 million (or 30%).</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increase was due primarily to an increase in marketing costs.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Stock Compensation</w:t>
      </w:r>
    </w:p>
    <w:p>
      <w:pPr>
        <w:spacing w:after="0" w:line="189" w:lineRule="exact"/>
        <w:rPr>
          <w:sz w:val="20"/>
          <w:szCs w:val="20"/>
          <w:color w:val="auto"/>
        </w:rPr>
      </w:pPr>
    </w:p>
    <w:p>
      <w:pPr>
        <w:ind w:right="420" w:firstLine="191"/>
        <w:spacing w:after="0" w:line="346" w:lineRule="auto"/>
        <w:rPr>
          <w:sz w:val="20"/>
          <w:szCs w:val="20"/>
          <w:color w:val="auto"/>
        </w:rPr>
      </w:pPr>
      <w:r>
        <w:rPr>
          <w:rFonts w:ascii="Times New Roman" w:cs="Times New Roman" w:eastAsia="Times New Roman" w:hAnsi="Times New Roman"/>
          <w:sz w:val="14"/>
          <w:szCs w:val="14"/>
          <w:color w:val="auto"/>
        </w:rPr>
        <w:t>Stock compensation expense was $4.2 million and $0.5 million for the six months ended June 30, 2025 and 2024, respectively, an increase of $3.7 million (or 740%). This increase was primarily as a result of a non-cash charge of $3.6 million due to the reclassification of certain Board restricted stock unit grants from equity to liability.</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Nonoperating Components of Net Periodic Benefit Loss (Income)</w:t>
      </w:r>
    </w:p>
    <w:p>
      <w:pPr>
        <w:spacing w:after="0" w:line="189"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 xml:space="preserve">Nonoperating components of net periodic benefit loss (income) netted to a loss of $1.0 million and income of $16.3 million for the three months ended June 30, 2025 and 2024, respectively, a change of $17.3 million (or 106%). The change is primarily due to the $16.6 million remeasurement gain driven by the partial annuitization of two pension plans in May 2024. The remaining change is primarily related to the expected return on plan assets, partially offset by interest cost as the discounted present value of benefit obligations nears payment, as described in Note 8, </w:t>
      </w:r>
      <w:r>
        <w:rPr>
          <w:rFonts w:ascii="Times New Roman" w:cs="Times New Roman" w:eastAsia="Times New Roman" w:hAnsi="Times New Roman"/>
          <w:sz w:val="16"/>
          <w:szCs w:val="16"/>
          <w:i w:val="1"/>
          <w:iCs w:val="1"/>
          <w:color w:val="auto"/>
        </w:rPr>
        <w:t>Pension and Postretirement Health and Life Benefits</w:t>
      </w:r>
      <w:r>
        <w:rPr>
          <w:rFonts w:ascii="Times New Roman" w:cs="Times New Roman" w:eastAsia="Times New Roman" w:hAnsi="Times New Roman"/>
          <w:sz w:val="16"/>
          <w:szCs w:val="16"/>
          <w:color w:val="auto"/>
        </w:rPr>
        <w:t xml:space="preserve"> of the Consolidated Financial Statements.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89"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Interest expense was $3.1 million and $0.3 million for the three months ended June 30, 2025 and 2024, respectively, an increase of $2.8 million (or 933%). This increase was due primarily to interest incurred on the 2.25% Convertible Notes issued in November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50" w:name="page51"/>
    <w:bookmarkEnd w:id="50"/>
    <w:p>
      <w:pPr>
        <w:ind w:left="200"/>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200" w:lineRule="exact"/>
        <w:rPr>
          <w:sz w:val="20"/>
          <w:szCs w:val="20"/>
          <w:color w:val="auto"/>
        </w:rPr>
      </w:pPr>
    </w:p>
    <w:p>
      <w:pPr>
        <w:ind w:right="120" w:firstLine="191"/>
        <w:spacing w:after="0" w:line="254" w:lineRule="auto"/>
        <w:rPr>
          <w:sz w:val="20"/>
          <w:szCs w:val="20"/>
          <w:color w:val="auto"/>
        </w:rPr>
      </w:pPr>
      <w:r>
        <w:rPr>
          <w:rFonts w:ascii="Times New Roman" w:cs="Times New Roman" w:eastAsia="Times New Roman" w:hAnsi="Times New Roman"/>
          <w:sz w:val="16"/>
          <w:szCs w:val="16"/>
          <w:color w:val="auto"/>
        </w:rPr>
        <w:t>Investment income was $8.0 million and $2.4 million for the three months ended June 30, 2025 and 2024, respectively, an increase of $5.6 million (or 233%). The Company’s investment income represents interest earned on operating cash, which is primarily held in money market accounts. The increase was due primarily to a higher cash balance driven by the proceeds from the issuance of the 2.25% Convertible Notes issued in November 2024.</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Net Income and Comprehensive Income</w:t>
      </w:r>
    </w:p>
    <w:p>
      <w:pPr>
        <w:spacing w:after="0" w:line="20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Net income was $28.9 million and $30.6 million for the three months ended June 30, 2025 and 2024, respectively, a decrease of $1.7 million (or 6%). The decrease was primarily attributable to an increase in net nonoperating expenses of $14.5 million, driven by a change of $17.3 million in nonoperating components of net periodic benefit expense and an increase of $3.7 million in stock compensation. This was partially offset by an increase of $17.4 million in gross profit, as discussed above.</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Six Months Ended June 30, 2025 Compared with Six Months Ended June 30, 2024</w:t>
      </w:r>
    </w:p>
    <w:p>
      <w:pPr>
        <w:spacing w:after="0" w:line="29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113 %</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571 %</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414 %</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Nonoperating components of net periodic benefit loss (income)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112 %</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829 %</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net</w:t>
            </w: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133 %</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r>
      <w:tr>
        <w:trPr>
          <w:trHeight w:val="174"/>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and comprehensive income</w:t>
            </w:r>
          </w:p>
        </w:tc>
        <w:tc>
          <w:tcPr>
            <w:tcW w:w="9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56.1</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24.5</w:t>
            </w:r>
          </w:p>
        </w:tc>
        <w:tc>
          <w:tcPr>
            <w:tcW w:w="180" w:type="dxa"/>
            <w:vAlign w:val="bottom"/>
          </w:tcPr>
          <w:p>
            <w:pPr>
              <w:spacing w:after="0"/>
              <w:rPr>
                <w:sz w:val="15"/>
                <w:szCs w:val="15"/>
                <w:color w:val="auto"/>
              </w:rPr>
            </w:pPr>
          </w:p>
        </w:tc>
        <w:tc>
          <w:tcPr>
            <w:tcW w:w="5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129 %</w:t>
            </w:r>
          </w:p>
        </w:tc>
      </w:tr>
      <w:tr>
        <w:trPr>
          <w:trHeight w:val="20"/>
        </w:trPr>
        <w:tc>
          <w:tcPr>
            <w:tcW w:w="5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Advanced Technology Costs</w:t>
      </w:r>
    </w:p>
    <w:p>
      <w:pPr>
        <w:spacing w:after="0" w:line="189" w:lineRule="exact"/>
        <w:rPr>
          <w:sz w:val="20"/>
          <w:szCs w:val="20"/>
          <w:color w:val="auto"/>
        </w:rPr>
      </w:pPr>
    </w:p>
    <w:p>
      <w:pPr>
        <w:ind w:right="240" w:firstLine="191"/>
        <w:spacing w:after="0" w:line="254" w:lineRule="auto"/>
        <w:rPr>
          <w:sz w:val="20"/>
          <w:szCs w:val="20"/>
          <w:color w:val="auto"/>
        </w:rPr>
      </w:pPr>
      <w:r>
        <w:rPr>
          <w:rFonts w:ascii="Times New Roman" w:cs="Times New Roman" w:eastAsia="Times New Roman" w:hAnsi="Times New Roman"/>
          <w:sz w:val="16"/>
          <w:szCs w:val="16"/>
          <w:color w:val="auto"/>
        </w:rPr>
        <w:t>Advanced technology costs were $6.3 million and $9.8 million for the six months ended June 30, 2025 and 2024, respectively, a decrease of $3.5 million (or 36%). Advanced technology costs consist of American Centrifuge work and related expenses that are outside of our customer contracts in the Technical Solutions segment, including bid and proposal activities and work to improve our centrifuge manufacturing capability.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51" w:name="page52"/>
    <w:bookmarkEnd w:id="51"/>
    <w:p>
      <w:pPr>
        <w:ind w:left="200"/>
        <w:spacing w:after="0"/>
        <w:rPr>
          <w:sz w:val="20"/>
          <w:szCs w:val="20"/>
          <w:color w:val="auto"/>
        </w:rPr>
      </w:pPr>
      <w:r>
        <w:rPr>
          <w:rFonts w:ascii="Times New Roman" w:cs="Times New Roman" w:eastAsia="Times New Roman" w:hAnsi="Times New Roman"/>
          <w:sz w:val="16"/>
          <w:szCs w:val="16"/>
          <w:i w:val="1"/>
          <w:iCs w:val="1"/>
          <w:color w:val="auto"/>
        </w:rPr>
        <w:t>Selling, General and Administrative</w:t>
      </w:r>
    </w:p>
    <w:p>
      <w:pPr>
        <w:spacing w:after="0" w:line="200" w:lineRule="exact"/>
        <w:rPr>
          <w:sz w:val="20"/>
          <w:szCs w:val="20"/>
          <w:color w:val="auto"/>
        </w:rPr>
      </w:pPr>
    </w:p>
    <w:p>
      <w:pPr>
        <w:ind w:right="300" w:firstLine="191"/>
        <w:spacing w:after="0" w:line="259" w:lineRule="auto"/>
        <w:rPr>
          <w:sz w:val="20"/>
          <w:szCs w:val="20"/>
          <w:color w:val="auto"/>
        </w:rPr>
      </w:pPr>
      <w:r>
        <w:rPr>
          <w:rFonts w:ascii="Times New Roman" w:cs="Times New Roman" w:eastAsia="Times New Roman" w:hAnsi="Times New Roman"/>
          <w:sz w:val="16"/>
          <w:szCs w:val="16"/>
          <w:color w:val="auto"/>
        </w:rPr>
        <w:t>Selling, general and administrative costs were $17.0 million and $15.0 million for the six months ended June 30, 2025 and 2024, respectively, an increase of $2.0 million (or 13%). This increase was due primarily to an increase in marketing costs.</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Stock Compensation</w:t>
      </w:r>
    </w:p>
    <w:p>
      <w:pPr>
        <w:spacing w:after="0" w:line="189" w:lineRule="exact"/>
        <w:rPr>
          <w:sz w:val="20"/>
          <w:szCs w:val="20"/>
          <w:color w:val="auto"/>
        </w:rPr>
      </w:pPr>
    </w:p>
    <w:p>
      <w:pPr>
        <w:ind w:right="420" w:firstLine="191"/>
        <w:spacing w:after="0" w:line="346" w:lineRule="auto"/>
        <w:rPr>
          <w:sz w:val="20"/>
          <w:szCs w:val="20"/>
          <w:color w:val="auto"/>
        </w:rPr>
      </w:pPr>
      <w:r>
        <w:rPr>
          <w:rFonts w:ascii="Times New Roman" w:cs="Times New Roman" w:eastAsia="Times New Roman" w:hAnsi="Times New Roman"/>
          <w:sz w:val="14"/>
          <w:szCs w:val="14"/>
          <w:color w:val="auto"/>
        </w:rPr>
        <w:t>Stock compensation expense was $4.7 million and $0.7 million for the six months ended June 30, 2025 and 2024, respectively, an increase of $4.0 million (or 571%). This increase was primarily as a result of a non-cash charge of $3.6 million due to the reclassification of certain Board restricted stock unit grants from equity to liability.</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Nonoperating Components of Net Periodic Benefit Loss (Income)</w:t>
      </w:r>
    </w:p>
    <w:p>
      <w:pPr>
        <w:spacing w:after="0" w:line="189"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 xml:space="preserve">Nonoperating components of net periodic benefit loss (income) netted to a loss of $1.9 million and income of $16.2 million for the six months ended June 30, 2025 and 2024, respectively, a change of $18.1 million (or 112%). The change is primarily due to the $16.6 million remeasurement gain driven by the partial annuitization of two pension plans in May 2024. The remaining change is primarily related to the expected return on plan assets, partially offset by interest cost as the discounted present value of benefit obligations nears payment, as described in Note 8, </w:t>
      </w:r>
      <w:r>
        <w:rPr>
          <w:rFonts w:ascii="Times New Roman" w:cs="Times New Roman" w:eastAsia="Times New Roman" w:hAnsi="Times New Roman"/>
          <w:sz w:val="16"/>
          <w:szCs w:val="16"/>
          <w:i w:val="1"/>
          <w:iCs w:val="1"/>
          <w:color w:val="auto"/>
        </w:rPr>
        <w:t>Pension and Postretirement Health and Life Benefits</w:t>
      </w:r>
      <w:r>
        <w:rPr>
          <w:rFonts w:ascii="Times New Roman" w:cs="Times New Roman" w:eastAsia="Times New Roman" w:hAnsi="Times New Roman"/>
          <w:sz w:val="16"/>
          <w:szCs w:val="16"/>
          <w:color w:val="auto"/>
        </w:rPr>
        <w:t xml:space="preserve"> of the Consolidated Financial Statements.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89"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Interest expense was $6.5 million and $0.7 million for the three months ended June 30, 2025 and 2024, respectively, an increase of $5.8 million (or 829%). This increase was due primarily to interest incurred on the 2.25% Convertible Notes issued in November 2024.</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200" w:lineRule="exact"/>
        <w:rPr>
          <w:sz w:val="20"/>
          <w:szCs w:val="20"/>
          <w:color w:val="auto"/>
        </w:rPr>
      </w:pPr>
    </w:p>
    <w:p>
      <w:pPr>
        <w:jc w:val="both"/>
        <w:ind w:right="40" w:firstLine="191"/>
        <w:spacing w:after="0" w:line="254" w:lineRule="auto"/>
        <w:rPr>
          <w:sz w:val="20"/>
          <w:szCs w:val="20"/>
          <w:color w:val="auto"/>
        </w:rPr>
      </w:pPr>
      <w:r>
        <w:rPr>
          <w:rFonts w:ascii="Times New Roman" w:cs="Times New Roman" w:eastAsia="Times New Roman" w:hAnsi="Times New Roman"/>
          <w:sz w:val="16"/>
          <w:szCs w:val="16"/>
          <w:color w:val="auto"/>
        </w:rPr>
        <w:t>Investment income was $15.3 million and $5.2 million for the three months ended June 30, 2025 and 2024, respectively, an increase of $10.1 million (or 194%). The Company’s investment income represents interest earned on operating cash, which is primarily held in money market accounts. The increase was due primarily to a higher cash balance driven by the proceeds from the issuance of the 2.25% Convertible Notes issued in November 2024.</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Extinguishment of Long-Term Debt</w:t>
      </w:r>
    </w:p>
    <w:p>
      <w:pPr>
        <w:spacing w:after="0" w:line="189" w:lineRule="exact"/>
        <w:rPr>
          <w:sz w:val="20"/>
          <w:szCs w:val="20"/>
          <w:color w:val="auto"/>
        </w:rPr>
      </w:pPr>
    </w:p>
    <w:p>
      <w:pPr>
        <w:jc w:val="both"/>
        <w:ind w:right="40" w:firstLine="191"/>
        <w:spacing w:after="0" w:line="273" w:lineRule="auto"/>
        <w:rPr>
          <w:sz w:val="20"/>
          <w:szCs w:val="20"/>
          <w:color w:val="auto"/>
        </w:rPr>
      </w:pPr>
      <w:r>
        <w:rPr>
          <w:rFonts w:ascii="Times New Roman" w:cs="Times New Roman" w:eastAsia="Times New Roman" w:hAnsi="Times New Roman"/>
          <w:sz w:val="16"/>
          <w:szCs w:val="16"/>
          <w:color w:val="auto"/>
        </w:rPr>
        <w:t>Pursuant to the a redemption notice, on March 26, 2025, the Company redeemed all 8.25% Notes at a redemption price equal to 100% of the principal amount, together with any accrued and unpaid interest. The Company recorded a gain of $11.8 million related to the extinguishment of the 8.25% Notes in the six months ended June 30, 2025.</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Income Tax Expense</w:t>
      </w:r>
    </w:p>
    <w:p>
      <w:pPr>
        <w:spacing w:after="0" w:line="20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 xml:space="preserve">Income tax expense was $16.5 million and $6.6 million in the six months ended June 30, 2025 and 2024, respectively, an increase of $9.9 million (or 150%). Income tax expense for both periods resulted from applying the annual effective tax rate to the quarterly income from continuing operations adjusted for discrete items. For more information about the valuation allowance, see Note 14,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in our Consolidated Financial Statements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52" w:name="page53"/>
    <w:bookmarkEnd w:id="52"/>
    <w:p>
      <w:pPr>
        <w:ind w:left="200"/>
        <w:spacing w:after="0"/>
        <w:rPr>
          <w:sz w:val="20"/>
          <w:szCs w:val="20"/>
          <w:color w:val="auto"/>
        </w:rPr>
      </w:pPr>
      <w:r>
        <w:rPr>
          <w:rFonts w:ascii="Times New Roman" w:cs="Times New Roman" w:eastAsia="Times New Roman" w:hAnsi="Times New Roman"/>
          <w:sz w:val="16"/>
          <w:szCs w:val="16"/>
          <w:i w:val="1"/>
          <w:iCs w:val="1"/>
          <w:color w:val="auto"/>
        </w:rPr>
        <w:t>Net Income and Comprehensive Income</w:t>
      </w:r>
    </w:p>
    <w:p>
      <w:pPr>
        <w:spacing w:after="0" w:line="200"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Net income was $56.1 million and $24.5 million in the six months ended June 30, 2025 and 2024, respectively, an increase of $31.6 million (or 129%). The increase was primarily attributable to an increase of $46.0 million in gross profit, as discussed above, a gain of $11.8 million on the extinguishment of long-term debt, and an increase of $10.1 million in investment income. This was partially offset by an increase of $18.1 million in nonoperating components of net periodic benefit expense, an increase of $9.9 million in income tax expense, and an increase of $5.8 million in interest expense.</w:t>
      </w: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755"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As of June 30, 2025, the Company had a consolidated cash and cash equivalents balance of $833.0 million. In addition, the Company had $11.2 million of restricted cash related to one of three initial inventory loans, which required a cash deposit into an escrow fund. In May 2025, $18.6 million of the restricted cash was released from escrow, following the repayment of two of the three inventory loans in March 2025. In July 2025, the remaining $11.2 million of the restricted cash was released from escrow, following the repayment of the last of the three inventory loans in June 2025. See Note 3</w:t>
      </w:r>
      <w:r>
        <w:rPr>
          <w:rFonts w:ascii="Times New Roman" w:cs="Times New Roman" w:eastAsia="Times New Roman" w:hAnsi="Times New Roman"/>
          <w:sz w:val="16"/>
          <w:szCs w:val="16"/>
          <w:i w:val="1"/>
          <w:iCs w:val="1"/>
          <w:color w:val="auto"/>
        </w:rPr>
        <w:t>, Cash, Cash Equivalents, and Restricted Cash</w:t>
      </w:r>
      <w:r>
        <w:rPr>
          <w:rFonts w:ascii="Times New Roman" w:cs="Times New Roman" w:eastAsia="Times New Roman" w:hAnsi="Times New Roman"/>
          <w:sz w:val="16"/>
          <w:szCs w:val="16"/>
          <w:color w:val="auto"/>
        </w:rPr>
        <w:t xml:space="preserve"> of the Consolidated Financial Statements. The Company anticipates having adequate liquidity to support our business operations for at least the next 12 months from the date of this Quarterly Report on Form 10-Q. Our view of liquidity is dependent on, among other things, conditions affecting our operations, including market, international trade restrictions, sanctions and other conditions, the impact of the May 2024 enactment of the Import Ban Act and our ability to obtain additional waivers thereunder, the impact of the November 2024 Russian Decree and the ability of TENEX to secure export licenses thereunder, the level of expenditures and government funding for our services contracts, and the timing of customer payments. Liquidity requirements for our existing operations are affected primarily by the timing and amount of customer sales and our inventory purchases.</w:t>
      </w:r>
    </w:p>
    <w:p>
      <w:pPr>
        <w:spacing w:after="0" w:line="177" w:lineRule="exact"/>
        <w:rPr>
          <w:sz w:val="20"/>
          <w:szCs w:val="20"/>
          <w:color w:val="auto"/>
        </w:rPr>
      </w:pPr>
    </w:p>
    <w:p>
      <w:pPr>
        <w:jc w:val="both"/>
        <w:ind w:right="160" w:firstLine="191"/>
        <w:spacing w:after="0" w:line="254" w:lineRule="auto"/>
        <w:rPr>
          <w:sz w:val="20"/>
          <w:szCs w:val="20"/>
          <w:color w:val="auto"/>
        </w:rPr>
      </w:pPr>
      <w:r>
        <w:rPr>
          <w:rFonts w:ascii="Times New Roman" w:cs="Times New Roman" w:eastAsia="Times New Roman" w:hAnsi="Times New Roman"/>
          <w:sz w:val="16"/>
          <w:szCs w:val="16"/>
          <w:color w:val="auto"/>
        </w:rPr>
        <w:t>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require next generation fuels.</w:t>
      </w:r>
    </w:p>
    <w:p>
      <w:pPr>
        <w:spacing w:after="0" w:line="169"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On November 10, 2022, the Company was awarded the HALEU Operation Contract. The HALEU Operation Contract provides for a 50/50 cost-share contract for Phase 1 of the base contract to complete the cascade, begin operations and produce the initial, small quantity demonstration HALEU. Phase 2 includes continued operations and maintenance on a cost-plus-incentive-fee basis. Finally, the HALEU Operation Contract includes options for the government to unilaterally extend performance for up to an additional nine years comprised of three options of three years each, also on a cost-plus-incentive-fee basis. The Company also is performing additional work on infrastructure and facility repairs and costs associated with 5B Cylinder refurbishment under either the DOE Contracting Officer’s approval or contract modifications. On November 5, 2024, the HALEU Operation Contract Phase 2 period of performance was extended to June 30, 2025. DOE has increased the Phase 2 contract value and related funding to approximately $169.1 million. On June 17, 2025, the DOE exercised Option 1a of Phase 3 of the HALEU Operation Contract and extended the period of performance to June 30, 2026. The Company’s goal is to modularly scale up the facility as demand for HALEU grows in the commercial and government sectors, subject to the availability of funding and/or contracts to purchase the output of the plant.</w:t>
      </w:r>
    </w:p>
    <w:p>
      <w:pPr>
        <w:spacing w:after="0" w:line="177" w:lineRule="exact"/>
        <w:rPr>
          <w:sz w:val="20"/>
          <w:szCs w:val="20"/>
          <w:color w:val="auto"/>
        </w:rPr>
      </w:pPr>
    </w:p>
    <w:p>
      <w:pPr>
        <w:jc w:val="both"/>
        <w:ind w:right="20" w:firstLine="191"/>
        <w:spacing w:after="0" w:line="254" w:lineRule="auto"/>
        <w:rPr>
          <w:sz w:val="20"/>
          <w:szCs w:val="20"/>
          <w:color w:val="auto"/>
        </w:rPr>
      </w:pPr>
      <w:r>
        <w:rPr>
          <w:rFonts w:ascii="Times New Roman" w:cs="Times New Roman" w:eastAsia="Times New Roman" w:hAnsi="Times New Roman"/>
          <w:sz w:val="16"/>
          <w:szCs w:val="16"/>
          <w:color w:val="auto"/>
        </w:rPr>
        <w:t xml:space="preserve">Although the Company believes demand for HALEU will emerge over the next several years, there are no guarantees about whether or when government or commercial demand for HALEU will materialize, and there are a number of technical, regulatory, and economic hurdles that must be overcome for these fuels and the reactors that will use these fuels to come to market. For further discussion,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our Annual Report on Form 10-K for the year ended December 31, 2024.</w:t>
      </w:r>
    </w:p>
    <w:p>
      <w:pPr>
        <w:spacing w:after="0" w:line="169" w:lineRule="exact"/>
        <w:rPr>
          <w:sz w:val="20"/>
          <w:szCs w:val="20"/>
          <w:color w:val="auto"/>
        </w:rPr>
      </w:pPr>
    </w:p>
    <w:p>
      <w:pPr>
        <w:ind w:right="100" w:firstLine="191"/>
        <w:spacing w:after="0" w:line="248" w:lineRule="auto"/>
        <w:rPr>
          <w:sz w:val="20"/>
          <w:szCs w:val="20"/>
          <w:color w:val="auto"/>
        </w:rPr>
      </w:pPr>
      <w:r>
        <w:rPr>
          <w:rFonts w:ascii="Times New Roman" w:cs="Times New Roman" w:eastAsia="Times New Roman" w:hAnsi="Times New Roman"/>
          <w:sz w:val="16"/>
          <w:szCs w:val="16"/>
          <w:color w:val="auto"/>
        </w:rPr>
        <w:t>If funding by the U.S. government of gas centrifuge technology is reduced or discontinued, or we are not awarded a future DOE contract to continue to operate the cascade or expand it, such actions may have a material adverse impact on our ability to deploy the American Centrifuge technology and on our liquidity. If funding under U.S. federal government programs or contracts and subcontracts, including under the HALEU Operation Contract, HALEU Deconversion Contract, HALEU Production Contract or LEU Production Contract, is delayed, reduced or terminated, as a result of the changes in the prevailing policies and budgetary priorities of the incumbent administration or otherwise, it could have a material adverse impact on our operations, including our ability to deploy the American Centrifuge technology.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54" w:name="page55"/>
    <w:bookmarkEnd w:id="54"/>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 xml:space="preserve">Further, any sanctions or other restrictions, including the Import Ban Act banning LEU imports from Russia and the Russian Decree prohibiting LEU exports out of Russia in the absence of a license, represent a significant risk to our business as we rely on the TENEX Supply Contract as a significant supply source to meet our delivery obligations. Such restrictions on LEU imports to the U.S. or exports from Russia could have a material impact on our operations and liquidity. For further discussion, please see Part I, Item 1A, </w:t>
      </w:r>
      <w:r>
        <w:rPr>
          <w:rFonts w:ascii="Times New Roman" w:cs="Times New Roman" w:eastAsia="Times New Roman" w:hAnsi="Times New Roman"/>
          <w:sz w:val="16"/>
          <w:szCs w:val="16"/>
          <w:i w:val="1"/>
          <w:iCs w:val="1"/>
          <w:color w:val="auto"/>
        </w:rPr>
        <w:t>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340" w:firstLine="191"/>
        <w:spacing w:after="0" w:line="273" w:lineRule="auto"/>
        <w:rPr>
          <w:sz w:val="20"/>
          <w:szCs w:val="20"/>
          <w:color w:val="auto"/>
        </w:rPr>
      </w:pPr>
      <w:r>
        <w:rPr>
          <w:rFonts w:ascii="Times New Roman" w:cs="Times New Roman" w:eastAsia="Times New Roman" w:hAnsi="Times New Roman"/>
          <w:sz w:val="16"/>
          <w:szCs w:val="16"/>
          <w:color w:val="auto"/>
        </w:rPr>
        <w:t>Pursuant to a redemption notice, on March 26, 2025, the Company redeemed all 8.25% Notes at a redemption price equal to 100% of the principal amount together with any accrued and unpaid interest. As of June 30, 2025, none of the 8.25% Notes remained outstanding.</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Capital expenditures of approximately $44.7 million are anticipated over the next 12 months.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Expansion of Manufacturing Capacity in Oak Ridge</w:t>
      </w:r>
    </w:p>
    <w:p>
      <w:pPr>
        <w:spacing w:after="0" w:line="200" w:lineRule="exact"/>
        <w:rPr>
          <w:sz w:val="20"/>
          <w:szCs w:val="20"/>
          <w:color w:val="auto"/>
        </w:rPr>
      </w:pPr>
    </w:p>
    <w:p>
      <w:pPr>
        <w:jc w:val="both"/>
        <w:ind w:right="200" w:firstLine="127"/>
        <w:spacing w:after="0" w:line="254" w:lineRule="auto"/>
        <w:rPr>
          <w:sz w:val="20"/>
          <w:szCs w:val="20"/>
          <w:color w:val="auto"/>
        </w:rPr>
      </w:pPr>
      <w:r>
        <w:rPr>
          <w:rFonts w:ascii="Times New Roman" w:cs="Times New Roman" w:eastAsia="Times New Roman" w:hAnsi="Times New Roman"/>
          <w:sz w:val="16"/>
          <w:szCs w:val="16"/>
          <w:color w:val="auto"/>
        </w:rPr>
        <w:t>On November 20, 2024, the Company announced the resumption of centrifuge manufacturing activities and expanding its manufacturing capacity at our facility in Oak Ridge, Tennessee. At the same time, the Company announced the investment of approximately $60.0 million over an 18 month period to lay the groundwork to support a potential large-scale expansion of uranium enrichment in Piketon, Ohio.</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Clean Energy Credit</w:t>
      </w:r>
    </w:p>
    <w:p>
      <w:pPr>
        <w:spacing w:after="0" w:line="189" w:lineRule="exact"/>
        <w:rPr>
          <w:sz w:val="20"/>
          <w:szCs w:val="20"/>
          <w:color w:val="auto"/>
        </w:rPr>
      </w:pPr>
    </w:p>
    <w:p>
      <w:pPr>
        <w:ind w:right="20" w:firstLine="127"/>
        <w:spacing w:after="0" w:line="248" w:lineRule="auto"/>
        <w:rPr>
          <w:sz w:val="20"/>
          <w:szCs w:val="20"/>
          <w:color w:val="auto"/>
        </w:rPr>
      </w:pPr>
      <w:r>
        <w:rPr>
          <w:rFonts w:ascii="Times New Roman" w:cs="Times New Roman" w:eastAsia="Times New Roman" w:hAnsi="Times New Roman"/>
          <w:sz w:val="16"/>
          <w:szCs w:val="16"/>
          <w:color w:val="auto"/>
        </w:rPr>
        <w:t>The Qualifying Advanced Energy Project Credit (“§48C”) was established by the American Recovery and Reinvestment Act of 2009 and renewed and expanded under the IRA. The §48C program aims to strengthen U.S. industrial competitiveness and clean energy supply chains. As the nation builds a net-zero economy, the §48C tax credit program aims to play a critical role to create high-quality jobs, reduce industrial emissions, and increase domestic production of critical clean energy products and materials. The IRA provided $10.0 billion in new funding under §48C(e), with at least $4.0 billion reserved for projects in certain energy communities with closed coal mines or retired coal-fired power plants, to allocate credits to projects in three categories: (1) Clean energy manufacturing and recycling, (2) industrial decarbonization, and (3) critical materials refining, processing, and recycling.</w:t>
      </w:r>
    </w:p>
    <w:p>
      <w:pPr>
        <w:spacing w:after="0" w:line="175" w:lineRule="exact"/>
        <w:rPr>
          <w:sz w:val="20"/>
          <w:szCs w:val="20"/>
          <w:color w:val="auto"/>
        </w:rPr>
      </w:pPr>
    </w:p>
    <w:p>
      <w:pPr>
        <w:ind w:firstLine="127"/>
        <w:spacing w:after="0" w:line="248" w:lineRule="auto"/>
        <w:rPr>
          <w:sz w:val="20"/>
          <w:szCs w:val="20"/>
          <w:color w:val="auto"/>
        </w:rPr>
      </w:pPr>
      <w:r>
        <w:rPr>
          <w:rFonts w:ascii="Times New Roman" w:cs="Times New Roman" w:eastAsia="Times New Roman" w:hAnsi="Times New Roman"/>
          <w:sz w:val="16"/>
          <w:szCs w:val="16"/>
          <w:color w:val="auto"/>
        </w:rPr>
        <w:t>On October 18, 2024, the Company submitted an application for a clean energy manufacturing and recycling project associated with re-equipping our manufacturing property at our manufacturing facility in Oak Ridge. This would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IRS granted our request for a $62.4 million credit allocation for this facility. Centrus now has two years from that date to provide evidence that the requirements of the credit have been met thus certifying our credit allocation. Upon certification of our credit allocation, the Company then has two years from that date to notify the DOE that the qualified investment in eligible property is placed in service to receive the credit allocation.</w:t>
      </w:r>
    </w:p>
    <w:p>
      <w:pPr>
        <w:spacing w:after="0" w:line="164" w:lineRule="exact"/>
        <w:rPr>
          <w:sz w:val="20"/>
          <w:szCs w:val="20"/>
          <w:color w:val="auto"/>
        </w:rPr>
      </w:pPr>
    </w:p>
    <w:p>
      <w:pPr>
        <w:ind w:right="260" w:firstLine="127"/>
        <w:spacing w:after="0" w:line="252" w:lineRule="auto"/>
        <w:rPr>
          <w:sz w:val="20"/>
          <w:szCs w:val="20"/>
          <w:color w:val="auto"/>
        </w:rPr>
      </w:pPr>
      <w:r>
        <w:rPr>
          <w:rFonts w:ascii="Times New Roman" w:cs="Times New Roman" w:eastAsia="Times New Roman" w:hAnsi="Times New Roman"/>
          <w:sz w:val="16"/>
          <w:szCs w:val="16"/>
          <w:color w:val="auto"/>
        </w:rPr>
        <w:t>Section 6418 was added to the Internal Revenue Code as part of the IRA and allows certain eligible taxpayers to elect to transfer certain clean energy tax credits to unrelated taxpayers for cash rather than use the credits to offset their U.S. federal income tax liability. The Company expects that we will be able to monetize all credit allocations received from §48C by transferring them to unrelated taxpayers for cash. It is unclear how the January 20, 2025 Executive Order 14154 will impact the IRS determination regarding our application request.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5" w:name="page56"/>
    <w:bookmarkEnd w:id="55"/>
    <w:p>
      <w:pPr>
        <w:ind w:left="200"/>
        <w:spacing w:after="0"/>
        <w:rPr>
          <w:sz w:val="20"/>
          <w:szCs w:val="20"/>
          <w:color w:val="auto"/>
        </w:rPr>
      </w:pPr>
      <w:r>
        <w:rPr>
          <w:rFonts w:ascii="Times New Roman" w:cs="Times New Roman" w:eastAsia="Times New Roman" w:hAnsi="Times New Roman"/>
          <w:sz w:val="16"/>
          <w:szCs w:val="16"/>
          <w:i w:val="1"/>
          <w:iCs w:val="1"/>
          <w:color w:val="auto"/>
        </w:rPr>
        <w:t>Defined Benefit Pension Plans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On May 28, 2024, the Company entered into an agreement with an insurer for two of its defined benefit plans to purchase a group annuity contract and transferred approximately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$234.0 million of its pension plan obligations to the insurer. The purchase of the group annuity contract was funded directly by the assets of the pension plan of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$224.0 million. The purchase resulted in a transfer of future benefit obligations and administrative responsibilities for more than 1,000 beneficiaries effective September 1, 2024.</w:t>
      </w:r>
    </w:p>
    <w:p>
      <w:pPr>
        <w:spacing w:after="0" w:line="199" w:lineRule="exact"/>
        <w:rPr>
          <w:sz w:val="20"/>
          <w:szCs w:val="20"/>
          <w:color w:val="auto"/>
        </w:rPr>
      </w:pPr>
    </w:p>
    <w:p>
      <w:pPr>
        <w:jc w:val="both"/>
        <w:ind w:right="20" w:firstLine="191"/>
        <w:spacing w:after="0" w:line="261" w:lineRule="auto"/>
        <w:rPr>
          <w:sz w:val="20"/>
          <w:szCs w:val="20"/>
          <w:color w:val="auto"/>
        </w:rPr>
      </w:pPr>
      <w:r>
        <w:rPr>
          <w:rFonts w:ascii="Times New Roman" w:cs="Times New Roman" w:eastAsia="Times New Roman" w:hAnsi="Times New Roman"/>
          <w:sz w:val="16"/>
          <w:szCs w:val="16"/>
          <w:color w:val="auto"/>
        </w:rPr>
        <w:t>During the third quarter of 2024, the Company transferred $15.4 million of pension plan assets and the related obligations under two participating group annuity contracts to two non-participating group additional agreements for two of its defined benefit plans. The purchase resulted in a transfer of future benefit obligations and administrative responsibilities for more than 400 beneficiaries effective October 1, 2024.</w:t>
      </w:r>
    </w:p>
    <w:p>
      <w:pPr>
        <w:spacing w:after="0" w:line="153" w:lineRule="exact"/>
        <w:rPr>
          <w:sz w:val="20"/>
          <w:szCs w:val="20"/>
          <w:color w:val="auto"/>
        </w:rPr>
      </w:pPr>
    </w:p>
    <w:p>
      <w:pPr>
        <w:ind w:right="160" w:firstLine="191"/>
        <w:spacing w:after="0" w:line="254" w:lineRule="auto"/>
        <w:rPr>
          <w:sz w:val="20"/>
          <w:szCs w:val="20"/>
          <w:color w:val="auto"/>
        </w:rPr>
      </w:pPr>
      <w:r>
        <w:rPr>
          <w:rFonts w:ascii="Times New Roman" w:cs="Times New Roman" w:eastAsia="Times New Roman" w:hAnsi="Times New Roman"/>
          <w:sz w:val="16"/>
          <w:szCs w:val="16"/>
          <w:color w:val="auto"/>
        </w:rPr>
        <w:t>Effective December 31, 2024, the Company merged its two qualified defined benefit pension plans in order to achieve financial and administrative efficiencies. Actuarial gains and losses of the merged plan will be amortized over the average remaining life expectancy of participants. The merger is not expected to result in any benefit reduction to participants in either plan.</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Potential Transactions</w:t>
      </w:r>
    </w:p>
    <w:p>
      <w:pPr>
        <w:spacing w:after="0" w:line="200" w:lineRule="exact"/>
        <w:rPr>
          <w:sz w:val="20"/>
          <w:szCs w:val="20"/>
          <w:color w:val="auto"/>
        </w:rPr>
      </w:pPr>
    </w:p>
    <w:p>
      <w:pPr>
        <w:ind w:right="220" w:firstLine="191"/>
        <w:spacing w:after="0" w:line="247" w:lineRule="auto"/>
        <w:rPr>
          <w:sz w:val="20"/>
          <w:szCs w:val="20"/>
          <w:color w:val="auto"/>
        </w:rPr>
      </w:pPr>
      <w:r>
        <w:rPr>
          <w:rFonts w:ascii="Times New Roman" w:cs="Times New Roman" w:eastAsia="Times New Roman" w:hAnsi="Times New Roman"/>
          <w:sz w:val="16"/>
          <w:szCs w:val="16"/>
          <w:color w:val="auto"/>
        </w:rPr>
        <w:t>We are also actively considering and expect to consider potential strategic transactions from time to time, which at any given time may be in various stages of discussion, diligence, or negotiation. These could involve, without limitation, acquisitions and/or dispositions of businesses or assets, joint ventures or investments in businesses, products or technologies, or changes to our capital structure. In connection with any such transaction, we would seek to satisfy these needs through a combination of working capital, cash generated from operations, or additional debt or equity financing.</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Cash Flow</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change in cash, cash equivalents and restricted cash from our Consolidated Statements of Cash Flows are as follows on a summarized basis (in millions):</w:t>
      </w:r>
    </w:p>
    <w:p>
      <w:pPr>
        <w:spacing w:after="0" w:line="14"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gridSpan w:val="3"/>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940" w:type="dxa"/>
            <w:vAlign w:val="bottom"/>
          </w:tcPr>
          <w:p>
            <w:pPr>
              <w:spacing w:after="0"/>
              <w:rPr>
                <w:sz w:val="12"/>
                <w:szCs w:val="12"/>
                <w:color w:val="auto"/>
              </w:rPr>
            </w:pPr>
          </w:p>
        </w:tc>
      </w:tr>
      <w:tr>
        <w:trPr>
          <w:trHeight w:val="179"/>
        </w:trPr>
        <w:tc>
          <w:tcPr>
            <w:tcW w:w="69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40" w:type="dxa"/>
            <w:vAlign w:val="bottom"/>
            <w:tcBorders>
              <w:bottom w:val="single" w:sz="8" w:color="auto"/>
            </w:tcBorders>
          </w:tcPr>
          <w:p>
            <w:pPr>
              <w:spacing w:after="0"/>
              <w:rPr>
                <w:sz w:val="15"/>
                <w:szCs w:val="15"/>
                <w:color w:val="auto"/>
              </w:rPr>
            </w:pPr>
          </w:p>
        </w:tc>
      </w:tr>
      <w:tr>
        <w:trPr>
          <w:trHeight w:val="171"/>
        </w:trPr>
        <w:tc>
          <w:tcPr>
            <w:tcW w:w="69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12.3</w:t>
            </w:r>
          </w:p>
        </w:tc>
      </w:tr>
      <w:tr>
        <w:trPr>
          <w:trHeight w:val="177"/>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6"/>
              </w:rPr>
              <w:t>(2.4)</w:t>
            </w:r>
          </w:p>
        </w:tc>
      </w:tr>
      <w:tr>
        <w:trPr>
          <w:trHeight w:val="18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16.0</w:t>
            </w:r>
          </w:p>
        </w:tc>
      </w:tr>
      <w:tr>
        <w:trPr>
          <w:trHeight w:val="177"/>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w w:val="96"/>
              </w:rPr>
              <w:t>(0.1)</w:t>
            </w:r>
          </w:p>
        </w:tc>
      </w:tr>
      <w:tr>
        <w:trPr>
          <w:trHeight w:val="19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in cash, cash equivalents and restricted cash</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143.0</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b w:val="1"/>
                <w:bCs w:val="1"/>
                <w:color w:val="auto"/>
              </w:rPr>
              <w:t>25.8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89"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2025, net cash provided by operating activities was $89.3 million. The net increase was primarily due to approximately $214.0 million in cash collected from customers and investment income. These cash inflows were partially offset by approximately $125.0 million of disbursements for operations, of which approximately $85.0 million relates to both payments for LEU inventory deliveries and cash outflows for the Technical Solutions segment, with the remaining disbursements being for corporate administration, benefits claims, and advanced technology costs.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56" w:name="page57"/>
    <w:bookmarkEnd w:id="56"/>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2024, net cash provided by operating activities was $12.3 million. The net increase was primarily due to approximately $199.0 million in cash collected from customers, investment income, and reimbursements for postretirement health and life benefits paid by the Company. These cash inflows were partially offset by approximately $187.0 million of disbursements for operations, of which approximately $143.0 million relates to payments for LEU inventory deliveries and cash outflows for the Technical Solutions segment, with the remaining disbursements being for corporate administration, benefits claims, and advanced technology costs.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Capital expenditures were $5.7 million and $2.4 million for the six months ended June 30, 2025 and 2024, respectively.</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89" w:lineRule="exact"/>
        <w:rPr>
          <w:sz w:val="20"/>
          <w:szCs w:val="20"/>
          <w:color w:val="auto"/>
        </w:rPr>
      </w:pPr>
    </w:p>
    <w:p>
      <w:pPr>
        <w:ind w:right="20" w:firstLine="191"/>
        <w:spacing w:after="0" w:line="273" w:lineRule="auto"/>
        <w:rPr>
          <w:sz w:val="20"/>
          <w:szCs w:val="20"/>
          <w:color w:val="auto"/>
        </w:rPr>
      </w:pPr>
      <w:r>
        <w:rPr>
          <w:rFonts w:ascii="Times New Roman" w:cs="Times New Roman" w:eastAsia="Times New Roman" w:hAnsi="Times New Roman"/>
          <w:sz w:val="16"/>
          <w:szCs w:val="16"/>
          <w:color w:val="auto"/>
        </w:rPr>
        <w:t>For the six months ended June 30, 2025 and 2024, cash of $139.9 million and $19.0 million, respectively, was provided from the net proceeds related to the issuance of 1,415,924 and 451,830 shares, respectively, of Class A Common Stock under ATM offerings.</w:t>
      </w:r>
    </w:p>
    <w:p>
      <w:pPr>
        <w:spacing w:after="0" w:line="144" w:lineRule="exact"/>
        <w:rPr>
          <w:sz w:val="20"/>
          <w:szCs w:val="20"/>
          <w:color w:val="auto"/>
        </w:rPr>
      </w:pPr>
    </w:p>
    <w:p>
      <w:pPr>
        <w:jc w:val="both"/>
        <w:ind w:right="180" w:firstLine="191"/>
        <w:spacing w:after="0" w:line="261" w:lineRule="auto"/>
        <w:rPr>
          <w:sz w:val="20"/>
          <w:szCs w:val="20"/>
          <w:color w:val="auto"/>
        </w:rPr>
      </w:pPr>
      <w:r>
        <w:rPr>
          <w:rFonts w:ascii="Times New Roman" w:cs="Times New Roman" w:eastAsia="Times New Roman" w:hAnsi="Times New Roman"/>
          <w:sz w:val="16"/>
          <w:szCs w:val="16"/>
          <w:color w:val="auto"/>
        </w:rPr>
        <w:t>Pursuant to the Redemption Notice, on March 26, 2025, the Company redeemed all 8.25% Notes at a redemption price equal to 100% of the principal amount of $74.3 million, together with any accrued and unpaid interest. For the six months ended June 30, 2025 and 2024, payments of $3.5 million and $3.1 million, respectively, of interest classified as debt are classified as a financing activity. Refer to Note 6</w:t>
      </w:r>
      <w:r>
        <w:rPr>
          <w:rFonts w:ascii="Times New Roman" w:cs="Times New Roman" w:eastAsia="Times New Roman" w:hAnsi="Times New Roman"/>
          <w:sz w:val="16"/>
          <w:szCs w:val="16"/>
          <w:i w:val="1"/>
          <w:iCs w:val="1"/>
          <w:color w:val="auto"/>
        </w:rPr>
        <w:t>, Debt,</w:t>
      </w:r>
      <w:r>
        <w:rPr>
          <w:rFonts w:ascii="Times New Roman" w:cs="Times New Roman" w:eastAsia="Times New Roman" w:hAnsi="Times New Roman"/>
          <w:sz w:val="16"/>
          <w:szCs w:val="16"/>
          <w:color w:val="auto"/>
        </w:rPr>
        <w:t xml:space="preserve"> of the Consolidated Financial Statements regarding the accounting for the 8.25% Notes.</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Working Capital</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summarizes the Company’s working capital (in millions):</w:t>
      </w:r>
    </w:p>
    <w:p>
      <w:pPr>
        <w:spacing w:after="0" w:line="89"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66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671.4</w:t>
            </w:r>
          </w:p>
        </w:tc>
      </w:tr>
      <w:tr>
        <w:trPr>
          <w:trHeight w:val="177"/>
        </w:trPr>
        <w:tc>
          <w:tcPr>
            <w:tcW w:w="6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84"/>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 net</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w:t>
            </w:r>
          </w:p>
        </w:tc>
      </w:tr>
      <w:tr>
        <w:trPr>
          <w:trHeight w:val="177"/>
        </w:trPr>
        <w:tc>
          <w:tcPr>
            <w:tcW w:w="6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debt</w:t>
            </w:r>
          </w:p>
        </w:tc>
        <w:tc>
          <w:tcPr>
            <w:tcW w:w="9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84"/>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 and advances from customers, net of deferred costs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w:t>
            </w:r>
          </w:p>
        </w:tc>
      </w:tr>
      <w:tr>
        <w:trPr>
          <w:trHeight w:val="177"/>
        </w:trPr>
        <w:tc>
          <w:tcPr>
            <w:tcW w:w="6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current assets and liabilities, net</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r>
      <w:tr>
        <w:trPr>
          <w:trHeight w:val="199"/>
        </w:trPr>
        <w:tc>
          <w:tcPr>
            <w:tcW w:w="6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Working capital</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768.4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668.4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We are managing our working capital to seek to improve the long-term value of our LEU and Technical Solutions businesses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We continually evaluate alternatives to manage our capital structure and may opportunistically repurchase, exchange, or redeem Company securities from time to time.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7" w:name="page58"/>
    <w:bookmarkEnd w:id="57"/>
    <w:p>
      <w:pPr>
        <w:ind w:left="200"/>
        <w:spacing w:after="0"/>
        <w:rPr>
          <w:sz w:val="20"/>
          <w:szCs w:val="20"/>
          <w:color w:val="auto"/>
        </w:rPr>
      </w:pPr>
      <w:r>
        <w:rPr>
          <w:rFonts w:ascii="Times New Roman" w:cs="Times New Roman" w:eastAsia="Times New Roman" w:hAnsi="Times New Roman"/>
          <w:sz w:val="16"/>
          <w:szCs w:val="16"/>
          <w:i w:val="1"/>
          <w:iCs w:val="1"/>
          <w:color w:val="auto"/>
        </w:rPr>
        <w:t>2.25% Convertible Notes</w:t>
      </w:r>
    </w:p>
    <w:p>
      <w:pPr>
        <w:spacing w:after="0" w:line="200" w:lineRule="exact"/>
        <w:rPr>
          <w:sz w:val="20"/>
          <w:szCs w:val="20"/>
          <w:color w:val="auto"/>
        </w:rPr>
      </w:pPr>
    </w:p>
    <w:p>
      <w:pPr>
        <w:ind w:right="40" w:firstLine="127"/>
        <w:spacing w:after="0" w:line="246" w:lineRule="auto"/>
        <w:rPr>
          <w:sz w:val="20"/>
          <w:szCs w:val="20"/>
          <w:color w:val="auto"/>
        </w:rPr>
      </w:pPr>
      <w:r>
        <w:rPr>
          <w:rFonts w:ascii="Times New Roman" w:cs="Times New Roman" w:eastAsia="Times New Roman" w:hAnsi="Times New Roman"/>
          <w:sz w:val="16"/>
          <w:szCs w:val="16"/>
          <w:color w:val="auto"/>
        </w:rPr>
        <w:t>On November 7, 2024, the Company issued, in a Rule 144A offering, 2.25% Convertible Notes with an aggregate principal amount of $402.5 million, due November 1, 2030, unless earlier repurchased, redeemed or converted. The proceeds from the 2.25%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for the issuance of the 2.25% Convertible Notes. Additional terms and conditions of the 2.25% Convertible Notes are described in Note 6, Debt, of the Consolidated Financial Statements.</w:t>
      </w:r>
    </w:p>
    <w:p>
      <w:pPr>
        <w:spacing w:after="0" w:line="176" w:lineRule="exact"/>
        <w:rPr>
          <w:sz w:val="20"/>
          <w:szCs w:val="20"/>
          <w:color w:val="auto"/>
        </w:rPr>
      </w:pPr>
    </w:p>
    <w:p>
      <w:pPr>
        <w:jc w:val="both"/>
        <w:ind w:firstLine="191"/>
        <w:spacing w:after="0" w:line="248" w:lineRule="auto"/>
        <w:rPr>
          <w:sz w:val="20"/>
          <w:szCs w:val="20"/>
          <w:color w:val="auto"/>
        </w:rPr>
      </w:pPr>
      <w:r>
        <w:rPr>
          <w:rFonts w:ascii="Times New Roman" w:cs="Times New Roman" w:eastAsia="Times New Roman" w:hAnsi="Times New Roman"/>
          <w:sz w:val="16"/>
          <w:szCs w:val="16"/>
          <w:color w:val="auto"/>
        </w:rPr>
        <w:t>On June 30, 2025, the Company provided notice to the noteholders that the notes became convertible at the option of the holders beginning on July 1, 2025, and ending at the close of business on September 30, 2025.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the calendar quarter ended June 30, 2025, was greater than 130% of the conversion price in effect on each applicable trading day.</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8.25% Notes</w:t>
      </w:r>
    </w:p>
    <w:p>
      <w:pPr>
        <w:spacing w:after="0" w:line="189" w:lineRule="exact"/>
        <w:rPr>
          <w:sz w:val="20"/>
          <w:szCs w:val="20"/>
          <w:color w:val="auto"/>
        </w:rPr>
      </w:pPr>
    </w:p>
    <w:p>
      <w:pPr>
        <w:ind w:right="200" w:firstLine="191"/>
        <w:spacing w:after="0" w:line="261" w:lineRule="auto"/>
        <w:rPr>
          <w:sz w:val="20"/>
          <w:szCs w:val="20"/>
          <w:color w:val="auto"/>
        </w:rPr>
      </w:pPr>
      <w:r>
        <w:rPr>
          <w:rFonts w:ascii="Times New Roman" w:cs="Times New Roman" w:eastAsia="Times New Roman" w:hAnsi="Times New Roman"/>
          <w:sz w:val="16"/>
          <w:szCs w:val="16"/>
          <w:color w:val="auto"/>
        </w:rPr>
        <w:t xml:space="preserve">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to </w:t>
      </w:r>
      <w:r>
        <w:rPr>
          <w:rFonts w:ascii="Times New Roman" w:cs="Times New Roman" w:eastAsia="Times New Roman" w:hAnsi="Times New Roman"/>
          <w:sz w:val="16"/>
          <w:szCs w:val="16"/>
          <w:i w:val="1"/>
          <w:iCs w:val="1"/>
          <w:color w:val="auto"/>
        </w:rPr>
        <w:t>Extinguishment of Long-Term Debt</w:t>
      </w:r>
      <w:r>
        <w:rPr>
          <w:rFonts w:ascii="Times New Roman" w:cs="Times New Roman" w:eastAsia="Times New Roman" w:hAnsi="Times New Roman"/>
          <w:sz w:val="16"/>
          <w:szCs w:val="16"/>
          <w:color w:val="auto"/>
        </w:rPr>
        <w:t xml:space="preserve"> in the Consolidated Statements of Operations. As of June 30, 2025, none of the 8.25%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8" w:name="page59"/>
    <w:bookmarkEnd w:id="58"/>
    <w:p>
      <w:pPr>
        <w:ind w:left="200"/>
        <w:spacing w:after="0"/>
        <w:rPr>
          <w:sz w:val="20"/>
          <w:szCs w:val="20"/>
          <w:color w:val="auto"/>
        </w:rPr>
      </w:pPr>
      <w:r>
        <w:rPr>
          <w:rFonts w:ascii="Times New Roman" w:cs="Times New Roman" w:eastAsia="Times New Roman" w:hAnsi="Times New Roman"/>
          <w:sz w:val="16"/>
          <w:szCs w:val="16"/>
          <w:i w:val="1"/>
          <w:iCs w:val="1"/>
          <w:color w:val="auto"/>
        </w:rPr>
        <w:t>2023 Shelf Registration</w:t>
      </w:r>
    </w:p>
    <w:p>
      <w:pPr>
        <w:spacing w:after="0" w:line="200" w:lineRule="exact"/>
        <w:rPr>
          <w:sz w:val="20"/>
          <w:szCs w:val="20"/>
          <w:color w:val="auto"/>
        </w:rPr>
      </w:pPr>
    </w:p>
    <w:p>
      <w:pPr>
        <w:jc w:val="both"/>
        <w:ind w:right="120" w:firstLine="191"/>
        <w:spacing w:after="0" w:line="254" w:lineRule="auto"/>
        <w:rPr>
          <w:sz w:val="20"/>
          <w:szCs w:val="20"/>
          <w:color w:val="auto"/>
        </w:rPr>
      </w:pPr>
      <w:r>
        <w:rPr>
          <w:rFonts w:ascii="Times New Roman" w:cs="Times New Roman" w:eastAsia="Times New Roman" w:hAnsi="Times New Roman"/>
          <w:sz w:val="16"/>
          <w:szCs w:val="16"/>
          <w:color w:val="auto"/>
        </w:rPr>
        <w:t>The Company filed a shelf registration statement on Form S-3 (File No. 333-272984) with the SEC on June 28, 2023, which became effective on July 10, 2023. Pursuant to this shelf registration statement, the Company may offer and sell up to $200.0 million in securities, in aggregate. The Company retains broad discretion over the use of the net proceeds from the sale of the securities offered.</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Common Stock Issuance</w:t>
      </w:r>
    </w:p>
    <w:p>
      <w:pPr>
        <w:spacing w:after="0" w:line="200" w:lineRule="exact"/>
        <w:rPr>
          <w:sz w:val="20"/>
          <w:szCs w:val="20"/>
          <w:color w:val="auto"/>
        </w:rPr>
      </w:pPr>
    </w:p>
    <w:p>
      <w:pPr>
        <w:ind w:right="40" w:firstLine="191"/>
        <w:spacing w:after="0" w:line="246" w:lineRule="auto"/>
        <w:rPr>
          <w:sz w:val="20"/>
          <w:szCs w:val="20"/>
          <w:color w:val="auto"/>
        </w:rPr>
      </w:pPr>
      <w:r>
        <w:rPr>
          <w:rFonts w:ascii="Times New Roman" w:cs="Times New Roman" w:eastAsia="Times New Roman" w:hAnsi="Times New Roman"/>
          <w:sz w:val="16"/>
          <w:szCs w:val="16"/>
          <w:color w:val="auto"/>
        </w:rPr>
        <w:t>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1,157,727 and 1,415,924 shares of its Class A Common Stock at the market price in the three and six months ended June 30, 2025, respectively, for a total of $117.1 million and $143.2 million, respectively. After expenses and commissions paid to the Agents, the Company’s proceeds totaled $114.7 million and $140.1 million in the three and six months ended June 30, 2025, respectively. Additionally, the Company recorded direct costs of $0.5 million and $0.6 million in the three and six months ended June 30, 2025, respectively, related to the issuance. The shares of Class A Common Stock were issued pursuant to the Company’s shelf registration statement on Form S-3 (File No. 333-272984), which became effective on July 10, 2023, and two prospectus supplements dated February 9, 2024 and May 9, 2025, respectively. As of June 30, 2025, the ATM offering was completed.</w:t>
      </w:r>
    </w:p>
    <w:p>
      <w:pPr>
        <w:spacing w:after="0" w:line="178" w:lineRule="exact"/>
        <w:rPr>
          <w:sz w:val="20"/>
          <w:szCs w:val="20"/>
          <w:color w:val="auto"/>
        </w:rPr>
      </w:pPr>
    </w:p>
    <w:p>
      <w:pPr>
        <w:ind w:right="100" w:firstLine="191"/>
        <w:spacing w:after="0" w:line="248" w:lineRule="auto"/>
        <w:rPr>
          <w:sz w:val="20"/>
          <w:szCs w:val="20"/>
          <w:color w:val="auto"/>
        </w:rPr>
      </w:pPr>
      <w:r>
        <w:rPr>
          <w:rFonts w:ascii="Times New Roman" w:cs="Times New Roman" w:eastAsia="Times New Roman" w:hAnsi="Times New Roman"/>
          <w:sz w:val="16"/>
          <w:szCs w:val="16"/>
          <w:color w:val="auto"/>
        </w:rPr>
        <w:t>Pursuant to this sales agreement, the Company sold an aggregate of 275,202 and 451,830 shares of its Class A Common Stock at the market price in the three and six months ended June 30, 2024, respectively, for a total of $12.5 million and $19.9 million, respectively. After expenses and commissions paid to the Agents, the Company’s proceeds totaled $12.2 million and $19.3 million in the three and six months ended June 30, 2024, respectively. Additionally, the Company recorded direct costs of less than $0.1 million in both the three and six months ended June 30, 2024, respectively, related to the issuance. The shares of Class A Common Stock were issued pursuant to the Company’s shelf registration statement on Form S-3 (File No. 333-272984), which became effective on July 10, 2023, and a prospectus supplement dated February 9, 2024.</w:t>
      </w:r>
    </w:p>
    <w:p>
      <w:pPr>
        <w:spacing w:after="0" w:line="174" w:lineRule="exact"/>
        <w:rPr>
          <w:sz w:val="20"/>
          <w:szCs w:val="20"/>
          <w:color w:val="auto"/>
        </w:rPr>
      </w:pPr>
    </w:p>
    <w:p>
      <w:pPr>
        <w:jc w:val="both"/>
        <w:ind w:right="600" w:firstLine="191"/>
        <w:spacing w:after="0" w:line="247" w:lineRule="auto"/>
        <w:rPr>
          <w:sz w:val="20"/>
          <w:szCs w:val="20"/>
          <w:color w:val="auto"/>
        </w:rPr>
      </w:pPr>
      <w:r>
        <w:rPr>
          <w:rFonts w:ascii="Times New Roman" w:cs="Times New Roman" w:eastAsia="Times New Roman" w:hAnsi="Times New Roman"/>
          <w:sz w:val="16"/>
          <w:szCs w:val="16"/>
          <w:color w:val="auto"/>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Rights Agreement</w:t>
      </w:r>
    </w:p>
    <w:p>
      <w:pPr>
        <w:spacing w:after="0" w:line="200" w:lineRule="exact"/>
        <w:rPr>
          <w:sz w:val="20"/>
          <w:szCs w:val="20"/>
          <w:color w:val="auto"/>
        </w:rPr>
      </w:pPr>
    </w:p>
    <w:p>
      <w:pPr>
        <w:ind w:right="20" w:firstLine="191"/>
        <w:spacing w:after="0" w:line="294" w:lineRule="auto"/>
        <w:rPr>
          <w:sz w:val="20"/>
          <w:szCs w:val="20"/>
          <w:color w:val="auto"/>
        </w:rPr>
      </w:pPr>
      <w:r>
        <w:rPr>
          <w:rFonts w:ascii="Times New Roman" w:cs="Times New Roman" w:eastAsia="Times New Roman" w:hAnsi="Times New Roman"/>
          <w:sz w:val="14"/>
          <w:szCs w:val="14"/>
          <w:color w:val="auto"/>
        </w:rPr>
        <w:t>On May 28, 2024, the Company entered into a Sixth Amendment to the Section 382 Rights Agreement, which amends the Rights Agreement, dated as of April 6, 2016 ,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spacing w:after="0" w:line="145"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9" w:name="page60"/>
    <w:bookmarkEnd w:id="59"/>
    <w:p>
      <w:pPr>
        <w:ind w:right="80" w:firstLine="191"/>
        <w:spacing w:after="0" w:line="273" w:lineRule="auto"/>
        <w:rPr>
          <w:sz w:val="20"/>
          <w:szCs w:val="20"/>
          <w:color w:val="auto"/>
        </w:rPr>
      </w:pPr>
      <w:r>
        <w:rPr>
          <w:rFonts w:ascii="Times New Roman" w:cs="Times New Roman" w:eastAsia="Times New Roman" w:hAnsi="Times New Roman"/>
          <w:sz w:val="16"/>
          <w:szCs w:val="16"/>
          <w:color w:val="auto"/>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spacing w:after="0" w:line="144" w:lineRule="exact"/>
        <w:rPr>
          <w:sz w:val="20"/>
          <w:szCs w:val="20"/>
          <w:color w:val="auto"/>
        </w:rPr>
      </w:pPr>
    </w:p>
    <w:p>
      <w:pPr>
        <w:ind w:right="320" w:firstLine="191"/>
        <w:spacing w:after="0" w:line="273" w:lineRule="auto"/>
        <w:rPr>
          <w:sz w:val="20"/>
          <w:szCs w:val="20"/>
          <w:color w:val="auto"/>
        </w:rPr>
      </w:pPr>
      <w:r>
        <w:rPr>
          <w:rFonts w:ascii="Times New Roman" w:cs="Times New Roman" w:eastAsia="Times New Roman" w:hAnsi="Times New Roman"/>
          <w:sz w:val="16"/>
          <w:szCs w:val="16"/>
          <w:color w:val="auto"/>
        </w:rPr>
        <w:t>The Sixth Amendment was approved by the Board on May 28, 2024 and made clarifying changes relating to the definition of “Beneficial Owner”, “beneficially owned” and “Beneficial Ownership” contained in the Rights Agreement.</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Contractual Commitments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have been no material changes to our contractual commitments from those discussed in our Annual Report on Form 10-K for the year ended December 31, 2024.</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DOE Technology License</w:t>
      </w:r>
    </w:p>
    <w:p>
      <w:pPr>
        <w:spacing w:after="0" w:line="189"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We have a non-exclusive license in DOE inventions that pertain to enriching uranium using gas centrifuge technology. The license agreement with DOE provides for annual royalty payments based on a varying percentage (1% up to 2%) of our annual revenues from sales of the SWU component of LEU produced by us using DOE centrifuge technology. There is a minimum annual royalty payment of $100,000 and the maximum cumulative royalty over the life of the license is $100.0 million. There is currently no commercial enrichment facility producing LEU using DOE centrifuge technology. We are continuing to advance our U.S. centrifuge technology that has evolved from DOE inventions at specialized facilities in Oak Ridge, Tennessee with a view to deploying a commercial enrichment facility over the long term.</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Off-Balance Sheet Arrangements</w:t>
      </w:r>
    </w:p>
    <w:p>
      <w:pPr>
        <w:spacing w:after="0" w:line="200" w:lineRule="exact"/>
        <w:rPr>
          <w:sz w:val="20"/>
          <w:szCs w:val="20"/>
          <w:color w:val="auto"/>
        </w:rPr>
      </w:pPr>
    </w:p>
    <w:p>
      <w:pPr>
        <w:ind w:right="420" w:firstLine="191"/>
        <w:spacing w:after="0" w:line="259" w:lineRule="auto"/>
        <w:rPr>
          <w:sz w:val="20"/>
          <w:szCs w:val="20"/>
          <w:color w:val="auto"/>
        </w:rPr>
      </w:pPr>
      <w:r>
        <w:rPr>
          <w:rFonts w:ascii="Times New Roman" w:cs="Times New Roman" w:eastAsia="Times New Roman" w:hAnsi="Times New Roman"/>
          <w:sz w:val="16"/>
          <w:szCs w:val="16"/>
          <w:color w:val="auto"/>
        </w:rPr>
        <w:t>Other than our SWU purchase commitments and the license agreement with DOE relating to the American Centrifuge technology, there were no material off-balance sheet arrangements at June 30,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98" w:lineRule="exact"/>
        <w:rPr>
          <w:sz w:val="20"/>
          <w:szCs w:val="20"/>
          <w:color w:val="auto"/>
        </w:rPr>
      </w:pPr>
    </w:p>
    <w:p>
      <w:pPr>
        <w:ind w:right="440" w:firstLine="191"/>
        <w:spacing w:after="0" w:line="262" w:lineRule="auto"/>
        <w:rPr>
          <w:sz w:val="20"/>
          <w:szCs w:val="20"/>
          <w:color w:val="auto"/>
        </w:rPr>
      </w:pPr>
      <w:r>
        <w:rPr>
          <w:rFonts w:ascii="Times New Roman" w:cs="Times New Roman" w:eastAsia="Times New Roman" w:hAnsi="Times New Roman"/>
          <w:sz w:val="16"/>
          <w:szCs w:val="16"/>
          <w:color w:val="auto"/>
        </w:rPr>
        <w:t xml:space="preserve">There have been no significant changes to the critical accounting estimates disclosed in Part II, Item 7, </w:t>
      </w:r>
      <w:r>
        <w:rPr>
          <w:rFonts w:ascii="Times New Roman" w:cs="Times New Roman" w:eastAsia="Times New Roman" w:hAnsi="Times New Roman"/>
          <w:sz w:val="16"/>
          <w:szCs w:val="16"/>
          <w:i w:val="1"/>
          <w:iCs w:val="1"/>
          <w:color w:val="auto"/>
        </w:rPr>
        <w:t>Management’s Discussion and Analysis of Financial Condition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Results of Operations, </w:t>
      </w:r>
      <w:r>
        <w:rPr>
          <w:rFonts w:ascii="Times New Roman" w:cs="Times New Roman" w:eastAsia="Times New Roman" w:hAnsi="Times New Roman"/>
          <w:sz w:val="16"/>
          <w:szCs w:val="16"/>
          <w:color w:val="auto"/>
        </w:rPr>
        <w:t>in our Annual Report on Form 10-K for the year ended December 31, 2024.</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have been no material changes to our market risks from those discussed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i w:val="1"/>
          <w:iCs w:val="1"/>
          <w:color w:val="auto"/>
        </w:rPr>
        <w:t>Controls and Procedures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189" w:lineRule="exact"/>
        <w:rPr>
          <w:sz w:val="20"/>
          <w:szCs w:val="20"/>
          <w:color w:val="auto"/>
        </w:rPr>
      </w:pPr>
    </w:p>
    <w:p>
      <w:pPr>
        <w:ind w:right="180" w:firstLine="191"/>
        <w:spacing w:after="0" w:line="307" w:lineRule="auto"/>
        <w:rPr>
          <w:sz w:val="20"/>
          <w:szCs w:val="20"/>
          <w:color w:val="auto"/>
        </w:rPr>
      </w:pPr>
      <w:r>
        <w:rPr>
          <w:rFonts w:ascii="Times New Roman" w:cs="Times New Roman" w:eastAsia="Times New Roman" w:hAnsi="Times New Roman"/>
          <w:sz w:val="14"/>
          <w:szCs w:val="14"/>
          <w:color w:val="auto"/>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spacing w:after="0" w:line="136" w:lineRule="exact"/>
        <w:rPr>
          <w:sz w:val="20"/>
          <w:szCs w:val="20"/>
          <w:color w:val="auto"/>
        </w:rPr>
      </w:pPr>
    </w:p>
    <w:p>
      <w:pPr>
        <w:ind w:right="160" w:firstLine="191"/>
        <w:spacing w:after="0" w:line="252" w:lineRule="auto"/>
        <w:rPr>
          <w:sz w:val="20"/>
          <w:szCs w:val="20"/>
          <w:color w:val="auto"/>
        </w:rPr>
      </w:pPr>
      <w:r>
        <w:rPr>
          <w:rFonts w:ascii="Times New Roman" w:cs="Times New Roman" w:eastAsia="Times New Roman" w:hAnsi="Times New Roman"/>
          <w:sz w:val="16"/>
          <w:szCs w:val="16"/>
          <w:color w:val="auto"/>
        </w:rPr>
        <w:t>As of June 30, 2025, the end of the period covered by this Quarterly Report on Form 10-Q,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200"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61" w:name="page62"/>
    <w:bookmarkEnd w:id="61"/>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 </w:t>
      </w:r>
      <w:r>
        <w:rPr>
          <w:rFonts w:ascii="Times New Roman" w:cs="Times New Roman" w:eastAsia="Times New Roman" w:hAnsi="Times New Roman"/>
          <w:sz w:val="16"/>
          <w:szCs w:val="16"/>
          <w:b w:val="1"/>
          <w:bCs w:val="1"/>
          <w:i w:val="1"/>
          <w:iCs w:val="1"/>
          <w:color w:val="auto"/>
        </w:rPr>
        <w:t>Legal Proceedings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Refer to Note 11</w:t>
      </w:r>
      <w:r>
        <w:rPr>
          <w:rFonts w:ascii="Times New Roman" w:cs="Times New Roman" w:eastAsia="Times New Roman" w:hAnsi="Times New Roman"/>
          <w:sz w:val="16"/>
          <w:szCs w:val="16"/>
          <w:i w:val="1"/>
          <w:iCs w:val="1"/>
          <w:color w:val="auto"/>
        </w:rPr>
        <w:t>, Commitments and Contingencies — Legal Matters,</w:t>
      </w:r>
      <w:r>
        <w:rPr>
          <w:rFonts w:ascii="Times New Roman" w:cs="Times New Roman" w:eastAsia="Times New Roman" w:hAnsi="Times New Roman"/>
          <w:sz w:val="16"/>
          <w:szCs w:val="16"/>
          <w:color w:val="auto"/>
        </w:rPr>
        <w:t xml:space="preserve"> of our Consolidated Financial Statements in Part I of this Quarterly Report on Form 10-Q.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1A. </w:t>
      </w:r>
      <w:r>
        <w:rPr>
          <w:rFonts w:ascii="Times New Roman" w:cs="Times New Roman" w:eastAsia="Times New Roman" w:hAnsi="Times New Roman"/>
          <w:sz w:val="16"/>
          <w:szCs w:val="16"/>
          <w:b w:val="1"/>
          <w:bCs w:val="1"/>
          <w:i w:val="1"/>
          <w:iCs w:val="1"/>
          <w:color w:val="auto"/>
        </w:rPr>
        <w:t>Risk Factors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There have been no material changes to the Risk Factors described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our Annual Report on Form 10-K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i w:val="1"/>
          <w:iCs w:val="1"/>
          <w:color w:val="auto"/>
        </w:rPr>
        <w:t>Other Information</w:t>
      </w:r>
    </w:p>
    <w:p>
      <w:pPr>
        <w:spacing w:after="0" w:line="200" w:lineRule="exact"/>
        <w:rPr>
          <w:sz w:val="20"/>
          <w:szCs w:val="20"/>
          <w:color w:val="auto"/>
        </w:rPr>
      </w:pPr>
    </w:p>
    <w:p>
      <w:pPr>
        <w:ind w:right="180" w:firstLine="191"/>
        <w:spacing w:after="0" w:line="259" w:lineRule="auto"/>
        <w:rPr>
          <w:sz w:val="20"/>
          <w:szCs w:val="20"/>
          <w:color w:val="auto"/>
        </w:rPr>
      </w:pPr>
      <w:r>
        <w:rPr>
          <w:rFonts w:ascii="Times New Roman" w:cs="Times New Roman" w:eastAsia="Times New Roman" w:hAnsi="Times New Roman"/>
          <w:sz w:val="16"/>
          <w:szCs w:val="16"/>
          <w:color w:val="auto"/>
        </w:rPr>
        <w:t>None of our directors or executive officers adopted or terminated a Rule 10b5-1 trading arrangement or a non-Rule 10b5-1 trading arrangement (as defined in Item 408(c) of Regulation S-K) during the period covered by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946"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i w:val="1"/>
          <w:iCs w:val="1"/>
          <w:color w:val="auto"/>
        </w:rPr>
        <w:t>Exhibits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Exhibit No.</w:t>
            </w:r>
          </w:p>
        </w:tc>
        <w:tc>
          <w:tcPr>
            <w:tcW w:w="9720" w:type="dxa"/>
            <w:vAlign w:val="bottom"/>
            <w:gridSpan w:val="1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360" w:type="dxa"/>
            <w:vAlign w:val="bottom"/>
          </w:tcPr>
          <w:p>
            <w:pPr>
              <w:spacing w:after="0"/>
              <w:rPr>
                <w:sz w:val="13"/>
                <w:szCs w:val="13"/>
                <w:color w:val="auto"/>
              </w:rPr>
            </w:pPr>
          </w:p>
        </w:tc>
        <w:tc>
          <w:tcPr>
            <w:tcW w:w="9720" w:type="dxa"/>
            <w:vAlign w:val="bottom"/>
            <w:gridSpan w:val="12"/>
          </w:tcPr>
          <w:p>
            <w:pPr>
              <w:spacing w:after="0"/>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Modification 19 to Agreement, dated May 5, 2025, by and between American Centrifuge Operating, LLC and the U.S. Department of Energy (incorporated by reference to</w:t>
              </w:r>
            </w:hyperlink>
          </w:p>
        </w:tc>
      </w:tr>
      <w:tr>
        <w:trPr>
          <w:trHeight w:val="139"/>
        </w:trPr>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8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Exhibit 10.6 of the Company’s Quarterly Report on Form 10-Q for the quarter ended March 31, 2025, filed with the SEC on May 8, 2025).</w:t>
              </w:r>
            </w:hyperlink>
          </w:p>
        </w:tc>
        <w:tc>
          <w:tcPr>
            <w:tcW w:w="18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360" w:type="dxa"/>
            <w:vAlign w:val="bottom"/>
          </w:tcPr>
          <w:p>
            <w:pPr>
              <w:spacing w:after="0"/>
              <w:rPr>
                <w:sz w:val="23"/>
                <w:szCs w:val="23"/>
                <w:color w:val="auto"/>
              </w:rPr>
            </w:pPr>
          </w:p>
        </w:tc>
        <w:tc>
          <w:tcPr>
            <w:tcW w:w="8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Modification 20 to Agreement, dated June 3, 2025, by and between American Centrifuge Operating, LLC and the U.S. Department of Energy. (a)</w:t>
            </w:r>
          </w:p>
        </w:tc>
        <w:tc>
          <w:tcPr>
            <w:tcW w:w="1480" w:type="dxa"/>
            <w:vAlign w:val="bottom"/>
            <w:gridSpan w:val="5"/>
          </w:tcPr>
          <w:p>
            <w:pPr>
              <w:spacing w:after="0"/>
              <w:rPr>
                <w:sz w:val="23"/>
                <w:szCs w:val="23"/>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360" w:type="dxa"/>
            <w:vAlign w:val="bottom"/>
          </w:tcPr>
          <w:p>
            <w:pPr>
              <w:spacing w:after="0"/>
              <w:rPr>
                <w:sz w:val="23"/>
                <w:szCs w:val="23"/>
                <w:color w:val="auto"/>
              </w:rPr>
            </w:pPr>
          </w:p>
        </w:tc>
        <w:tc>
          <w:tcPr>
            <w:tcW w:w="9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Modification 21 to Agreement, dated June 13, 2025, by and between American Centrifuge Operating, LLC and the U.S. Department of Energy. (a)</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360" w:type="dxa"/>
            <w:vAlign w:val="bottom"/>
          </w:tcPr>
          <w:p>
            <w:pPr>
              <w:spacing w:after="0"/>
              <w:rPr>
                <w:sz w:val="23"/>
                <w:szCs w:val="23"/>
                <w:color w:val="auto"/>
              </w:rPr>
            </w:pPr>
          </w:p>
        </w:tc>
        <w:tc>
          <w:tcPr>
            <w:tcW w:w="9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Modification 22 to Agreement, dated June 17, 2025, by and between American Centrifuge Operating, LLC and the U.S. Department of Energy. (a)</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360" w:type="dxa"/>
            <w:vAlign w:val="bottom"/>
          </w:tcPr>
          <w:p>
            <w:pPr>
              <w:spacing w:after="0"/>
              <w:rPr>
                <w:sz w:val="23"/>
                <w:szCs w:val="23"/>
                <w:color w:val="auto"/>
              </w:rPr>
            </w:pPr>
          </w:p>
        </w:tc>
        <w:tc>
          <w:tcPr>
            <w:tcW w:w="9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Modification 23 to Agreement, dated June 18, 2025, by and between American Centrifuge Operating, LLC and the U.S. Department of Energy. (a)</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360" w:type="dxa"/>
            <w:vAlign w:val="bottom"/>
          </w:tcPr>
          <w:p>
            <w:pPr>
              <w:spacing w:after="0"/>
              <w:rPr>
                <w:sz w:val="23"/>
                <w:szCs w:val="23"/>
                <w:color w:val="auto"/>
              </w:rPr>
            </w:pPr>
          </w:p>
        </w:tc>
        <w:tc>
          <w:tcPr>
            <w:tcW w:w="9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Letter Agreement, dated April 7, 2025, to the Enriched Product Transitional Supply Contract, dated March 23, 2011, between TENEX, Joint-Stock Company and United</w:t>
            </w:r>
          </w:p>
        </w:tc>
      </w:tr>
      <w:tr>
        <w:trPr>
          <w:trHeight w:val="118"/>
        </w:trPr>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60" w:type="dxa"/>
            <w:vAlign w:val="bottom"/>
            <w:tcBorders>
              <w:top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color w:val="0000FF"/>
              </w:rPr>
              <w:t>States Enrichment Corporation. (a)</w:t>
            </w: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360" w:type="dxa"/>
            <w:vAlign w:val="bottom"/>
          </w:tcPr>
          <w:p>
            <w:pPr>
              <w:spacing w:after="0"/>
              <w:rPr>
                <w:sz w:val="22"/>
                <w:szCs w:val="22"/>
                <w:color w:val="auto"/>
              </w:rPr>
            </w:pPr>
          </w:p>
        </w:tc>
        <w:tc>
          <w:tcPr>
            <w:tcW w:w="9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Letter Agreement, dated July 14, 2025, to the Enriched Product Transitional Supply Contract, dated March 23, 2011, between TENEX, Joint-Stock Company and United</w:t>
            </w:r>
          </w:p>
        </w:tc>
        <w:tc>
          <w:tcPr>
            <w:tcW w:w="140" w:type="dxa"/>
            <w:vAlign w:val="bottom"/>
            <w:gridSpan w:val="2"/>
          </w:tcPr>
          <w:p>
            <w:pPr>
              <w:spacing w:after="0"/>
              <w:rPr>
                <w:sz w:val="22"/>
                <w:szCs w:val="22"/>
                <w:color w:val="auto"/>
              </w:rPr>
            </w:pPr>
          </w:p>
        </w:tc>
      </w:tr>
      <w:tr>
        <w:trPr>
          <w:trHeight w:val="118"/>
        </w:trPr>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States Enrichment Corporation. (a)</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r>
      <w:tr>
        <w:trPr>
          <w:trHeight w:val="25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360" w:type="dxa"/>
            <w:vAlign w:val="bottom"/>
          </w:tcPr>
          <w:p>
            <w:pPr>
              <w:spacing w:after="0"/>
              <w:rPr>
                <w:sz w:val="22"/>
                <w:szCs w:val="22"/>
                <w:color w:val="auto"/>
              </w:rPr>
            </w:pPr>
          </w:p>
        </w:tc>
        <w:tc>
          <w:tcPr>
            <w:tcW w:w="4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Rule 13a-14(a)/15d-14(a). (a)</w:t>
            </w:r>
          </w:p>
        </w:tc>
        <w:tc>
          <w:tcPr>
            <w:tcW w:w="4860" w:type="dxa"/>
            <w:vAlign w:val="bottom"/>
            <w:gridSpan w:val="8"/>
          </w:tcPr>
          <w:p>
            <w:pPr>
              <w:spacing w:after="0"/>
              <w:rPr>
                <w:sz w:val="22"/>
                <w:szCs w:val="22"/>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360" w:type="dxa"/>
            <w:vAlign w:val="bottom"/>
          </w:tcPr>
          <w:p>
            <w:pPr>
              <w:spacing w:after="0"/>
              <w:rPr>
                <w:sz w:val="23"/>
                <w:szCs w:val="23"/>
                <w:color w:val="auto"/>
              </w:rPr>
            </w:pPr>
          </w:p>
        </w:tc>
        <w:tc>
          <w:tcPr>
            <w:tcW w:w="4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Rule 13a-14(a)/15d-14(a). (a)</w:t>
            </w:r>
          </w:p>
        </w:tc>
        <w:tc>
          <w:tcPr>
            <w:tcW w:w="4900" w:type="dxa"/>
            <w:vAlign w:val="bottom"/>
            <w:gridSpan w:val="9"/>
          </w:tcPr>
          <w:p>
            <w:pPr>
              <w:spacing w:after="0"/>
              <w:rPr>
                <w:sz w:val="23"/>
                <w:szCs w:val="23"/>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360" w:type="dxa"/>
            <w:vAlign w:val="bottom"/>
          </w:tcPr>
          <w:p>
            <w:pPr>
              <w:spacing w:after="0"/>
              <w:rPr>
                <w:sz w:val="23"/>
                <w:szCs w:val="23"/>
                <w:color w:val="auto"/>
              </w:rPr>
            </w:pPr>
          </w:p>
        </w:tc>
        <w:tc>
          <w:tcPr>
            <w:tcW w:w="9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and Chief Financial Officer pursuant to 18 U.S.C. Section 1350. (a)</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3" w:lineRule="exact"/>
        <w:rPr>
          <w:sz w:val="20"/>
          <w:szCs w:val="20"/>
          <w:color w:val="auto"/>
        </w:rPr>
      </w:pPr>
    </w:p>
    <w:p>
      <w:pPr>
        <w:ind w:left="1320" w:hanging="769"/>
        <w:spacing w:after="0" w:line="271" w:lineRule="auto"/>
        <w:tabs>
          <w:tab w:leader="none" w:pos="1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Consolidated Financial Statements from the Quarterly Report on Form 10-Q for the quarter ended June 30, 2025, filed in interactive data file (formatted as Inline XBRL).</w:t>
      </w:r>
    </w:p>
    <w:p>
      <w:pPr>
        <w:spacing w:after="0" w:line="82" w:lineRule="exact"/>
        <w:rPr>
          <w:sz w:val="20"/>
          <w:szCs w:val="20"/>
          <w:color w:val="auto"/>
        </w:rPr>
      </w:pPr>
    </w:p>
    <w:p>
      <w:pPr>
        <w:ind w:left="1320" w:hanging="769"/>
        <w:spacing w:after="0"/>
        <w:tabs>
          <w:tab w:leader="none" w:pos="13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5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031" w:right="539" w:bottom="1440" w:gutter="0" w:footer="0" w:header="0"/>
        </w:sectPr>
      </w:pPr>
    </w:p>
    <w:bookmarkStart w:id="63" w:name="page64"/>
    <w:bookmarkEnd w:id="63"/>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b w:val="1"/>
          <w:bCs w:val="1"/>
          <w:color w:val="auto"/>
        </w:rPr>
        <w:t>Centrus Energy Corp.</w:t>
      </w:r>
    </w:p>
    <w:p>
      <w:pPr>
        <w:spacing w:after="0" w:line="195" w:lineRule="exact"/>
        <w:rPr>
          <w:sz w:val="20"/>
          <w:szCs w:val="20"/>
          <w:color w:val="auto"/>
        </w:rPr>
      </w:pPr>
    </w:p>
    <w:p>
      <w:pPr>
        <w:ind w:left="220"/>
        <w:spacing w:after="0"/>
        <w:tabs>
          <w:tab w:leader="none" w:pos="5680" w:val="left"/>
        </w:tabs>
        <w:rPr>
          <w:sz w:val="20"/>
          <w:szCs w:val="20"/>
          <w:color w:val="auto"/>
        </w:rPr>
      </w:pPr>
      <w:r>
        <w:rPr>
          <w:rFonts w:ascii="Times New Roman" w:cs="Times New Roman" w:eastAsia="Times New Roman" w:hAnsi="Times New Roman"/>
          <w:sz w:val="16"/>
          <w:szCs w:val="16"/>
          <w:color w:val="auto"/>
        </w:rPr>
        <w:t>August 6, 2025</w:t>
      </w:r>
      <w:r>
        <w:rPr>
          <w:sz w:val="20"/>
          <w:szCs w:val="20"/>
          <w:color w:val="auto"/>
        </w:rPr>
        <w:tab/>
      </w:r>
      <w:r>
        <w:rPr>
          <w:rFonts w:ascii="Times New Roman" w:cs="Times New Roman" w:eastAsia="Times New Roman" w:hAnsi="Times New Roman"/>
          <w:sz w:val="14"/>
          <w:szCs w:val="14"/>
          <w:color w:val="auto"/>
        </w:rPr>
        <w:t>/s/ Kevin J. Harrill</w:t>
      </w:r>
    </w:p>
    <w:p>
      <w:pPr>
        <w:spacing w:after="0" w:line="22"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b w:val="1"/>
          <w:bCs w:val="1"/>
          <w:color w:val="auto"/>
        </w:rPr>
        <w:t>Kevin J. Harrill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-106680</wp:posOffset>
            </wp:positionV>
            <wp:extent cx="404241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4"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color w:val="auto"/>
        </w:rPr>
        <w:t>Senior Vice President, Chief Financial Officer, and Treasurer</w:t>
      </w:r>
    </w:p>
    <w:p>
      <w:pPr>
        <w:spacing w:after="0" w:line="18"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480"/>
          </w:cols>
          <w:pgMar w:left="300" w:top="755" w:right="1119" w:bottom="1440"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581660</wp:posOffset>
            </wp:positionH>
            <wp:positionV relativeFrom="page">
              <wp:posOffset>304800</wp:posOffset>
            </wp:positionV>
            <wp:extent cx="6500495"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500495"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581660</wp:posOffset>
            </wp:positionH>
            <wp:positionV relativeFrom="page">
              <wp:posOffset>425450</wp:posOffset>
            </wp:positionV>
            <wp:extent cx="6500495"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500495"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581660</wp:posOffset>
            </wp:positionH>
            <wp:positionV relativeFrom="page">
              <wp:posOffset>425450</wp:posOffset>
            </wp:positionV>
            <wp:extent cx="6500495"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500495"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581660</wp:posOffset>
            </wp:positionH>
            <wp:positionV relativeFrom="page">
              <wp:posOffset>425450</wp:posOffset>
            </wp:positionV>
            <wp:extent cx="6500495"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50049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581660</wp:posOffset>
            </wp:positionH>
            <wp:positionV relativeFrom="page">
              <wp:posOffset>425450</wp:posOffset>
            </wp:positionV>
            <wp:extent cx="6500495"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50049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Amir V. Vexler, certify that:</w:t>
      </w:r>
    </w:p>
    <w:p>
      <w:pPr>
        <w:spacing w:after="0" w:line="232" w:lineRule="exact"/>
        <w:rPr>
          <w:sz w:val="20"/>
          <w:szCs w:val="20"/>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August 6, 2025</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Amir V. Vexler</w:t>
            </w:r>
          </w:p>
        </w:tc>
      </w:tr>
      <w:tr>
        <w:trPr>
          <w:trHeight w:val="167"/>
        </w:trPr>
        <w:tc>
          <w:tcPr>
            <w:tcW w:w="436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Amir V. Vexler</w:t>
            </w:r>
          </w:p>
        </w:tc>
      </w:tr>
      <w:tr>
        <w:trPr>
          <w:trHeight w:val="184"/>
        </w:trPr>
        <w:tc>
          <w:tcPr>
            <w:tcW w:w="436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38" w:right="3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Kevin J. Harrill, certify that:</w:t>
      </w:r>
    </w:p>
    <w:p>
      <w:pPr>
        <w:spacing w:after="0" w:line="232" w:lineRule="exact"/>
        <w:rPr>
          <w:sz w:val="20"/>
          <w:szCs w:val="20"/>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August 6, 2025</w:t>
            </w:r>
          </w:p>
        </w:tc>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Kevin J. Harrill</w:t>
            </w:r>
          </w:p>
        </w:tc>
      </w:tr>
      <w:tr>
        <w:trPr>
          <w:trHeight w:val="167"/>
        </w:trPr>
        <w:tc>
          <w:tcPr>
            <w:tcW w:w="4360" w:type="dxa"/>
            <w:vAlign w:val="bottom"/>
          </w:tcPr>
          <w:p>
            <w:pPr>
              <w:spacing w:after="0"/>
              <w:rPr>
                <w:sz w:val="14"/>
                <w:szCs w:val="1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Kevin J. Harrill</w:t>
            </w:r>
          </w:p>
        </w:tc>
      </w:tr>
      <w:tr>
        <w:trPr>
          <w:trHeight w:val="184"/>
        </w:trPr>
        <w:tc>
          <w:tcPr>
            <w:tcW w:w="436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tc>
      </w:tr>
    </w:tbl>
    <w:p>
      <w:pPr>
        <w:sectPr>
          <w:pgSz w:w="11900" w:h="16838" w:orient="portrait"/>
          <w:cols w:equalWidth="0" w:num="1">
            <w:col w:w="11280"/>
          </w:cols>
          <w:pgMar w:left="300" w:top="738"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CERTIFICATION OF CEO AND CFO PURSUANT TO</w:t>
      </w:r>
    </w:p>
    <w:p>
      <w:pPr>
        <w:spacing w:after="0" w:line="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221" w:lineRule="exact"/>
        <w:rPr>
          <w:sz w:val="20"/>
          <w:szCs w:val="20"/>
          <w:color w:val="auto"/>
        </w:rPr>
      </w:pPr>
    </w:p>
    <w:p>
      <w:pPr>
        <w:ind w:right="100" w:firstLine="255"/>
        <w:spacing w:after="0" w:line="309" w:lineRule="auto"/>
        <w:rPr>
          <w:sz w:val="20"/>
          <w:szCs w:val="20"/>
          <w:color w:val="auto"/>
        </w:rPr>
      </w:pPr>
      <w:r>
        <w:rPr>
          <w:rFonts w:ascii="Times New Roman" w:cs="Times New Roman" w:eastAsia="Times New Roman" w:hAnsi="Times New Roman"/>
          <w:sz w:val="14"/>
          <w:szCs w:val="14"/>
          <w:color w:val="auto"/>
        </w:rPr>
        <w:t>In connection with the quarterly report on Form 10-Q of Centrus Energy Corp. for the period ended June 30, 2025, as filed with the Securities and Exchange Commission on the date hereof (the “Report”), pursuant to 18 U.S.C. § 1350, Amir V. Vexler, President and Chief Executive Officer, and Kevin J. Harrill, Senior Vice President, Chief Financial Officer, and Treasurer, each hereby certifies, that, to his knowledge:</w:t>
      </w:r>
    </w:p>
    <w:p>
      <w:pPr>
        <w:spacing w:after="0" w:line="163" w:lineRule="exact"/>
        <w:rPr>
          <w:sz w:val="20"/>
          <w:szCs w:val="20"/>
          <w:color w:val="auto"/>
        </w:rPr>
      </w:pPr>
    </w:p>
    <w:p>
      <w:pPr>
        <w:ind w:left="800" w:hanging="413"/>
        <w:spacing w:after="0"/>
        <w:tabs>
          <w:tab w:leader="none" w:pos="8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4"/>
          <w:szCs w:val="14"/>
          <w:color w:val="auto"/>
        </w:rPr>
      </w:pPr>
    </w:p>
    <w:p>
      <w:pPr>
        <w:ind w:left="800" w:hanging="413"/>
        <w:spacing w:after="0"/>
        <w:tabs>
          <w:tab w:leader="none" w:pos="8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Centrus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August 6, 2025</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Amir V. Vexler</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Amir V. Vexler</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72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August 6, 2025</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Kevin J. Harrill</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Kevin J. Harrill</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tc>
      </w:tr>
    </w:tbl>
    <w:p>
      <w:pPr>
        <w:spacing w:after="0" w:line="1" w:lineRule="exact"/>
        <w:rPr>
          <w:sz w:val="20"/>
          <w:szCs w:val="20"/>
          <w:color w:val="auto"/>
        </w:rPr>
      </w:pPr>
    </w:p>
    <w:sectPr>
      <w:pgSz w:w="11900" w:h="16838" w:orient="portrait"/>
      <w:cols w:equalWidth="0" w:num="1">
        <w:col w:w="11280"/>
      </w:cols>
      <w:pgMar w:left="300" w:top="7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2"/>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decimal"/>
      <w:start w:val="11"/>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01"/>
    </w:lvl>
  </w:abstractNum>
  <w:abstractNum w:abstractNumId="23">
    <w:nsid w:val="B03E0C6"/>
    <w:multiLevelType w:val="hybridMultilevel"/>
    <w:lvl w:ilvl="0">
      <w:lvlJc w:val="left"/>
      <w:lvlText w:val="%1"/>
      <w:numFmt w:val="lowerLetter"/>
      <w:start w:val="1"/>
    </w:lvl>
    <w:lvl w:ilvl="1">
      <w:lvlJc w:val="left"/>
      <w:lvlText w:val="%2"/>
      <w:numFmt w:val="decimal"/>
      <w:start w:val="104"/>
    </w:lvl>
  </w:abstractNum>
  <w:abstractNum w:abstractNumId="24">
    <w:nsid w:val="189A769B"/>
    <w:multiLevelType w:val="hybridMultilevel"/>
    <w:lvl w:ilvl="0">
      <w:lvlJc w:val="left"/>
      <w:lvlText w:val="(%1)"/>
      <w:numFmt w:val="lowerLetter"/>
      <w:start w:val="1"/>
    </w:lvl>
    <w:lvl w:ilvl="1">
      <w:lvlJc w:val="left"/>
      <w:lvlText w:val="%2"/>
      <w:numFmt w:val="decimal"/>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79" Type="http://schemas.openxmlformats.org/officeDocument/2006/relationships/hyperlink" Target="https://www.sec.gov/Archives/edgar/data/1065059/000106505925000024/exhibit_106x033125xhale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2025-08-06T15:32:02Z</dcterms:created>
  <dcterms:modified xsi:type="dcterms:W3CDTF">2025-08-06T15:32:02Z</dcterms:modified>
</cp:coreProperties>
</file>