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UNITED STATES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both"/>
        <w:rPr>
          <w:color w:val="000000"/>
        </w:rPr>
      </w:pPr>
      <w:r>
        <w:rPr>
          <w:color w:val="000000"/>
        </w:rPr>
        <w:t> </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 the quarterly period ended June 30, 2024 </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1-14287</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Centrus Energy Corp.</w:t>
      </w:r>
    </w:p>
    <w:tbl>
      <w:tblPr>
        <w:tblW w:w="4470" w:type="dxa"/>
        <w:jc w:val="left"/>
        <w:tblInd w:w="0" w:type="dxa"/>
        <w:tblLayout w:type="fixed"/>
        <w:tblCellMar>
          <w:top w:w="28" w:type="dxa"/>
          <w:left w:w="28" w:type="dxa"/>
          <w:bottom w:w="28" w:type="dxa"/>
          <w:right w:w="28" w:type="dxa"/>
        </w:tblCellMar>
      </w:tblPr>
      <w:tblGrid>
        <w:gridCol w:w="651"/>
        <w:gridCol w:w="572"/>
        <w:gridCol w:w="577"/>
        <w:gridCol w:w="780"/>
        <w:gridCol w:w="780"/>
        <w:gridCol w:w="1110"/>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52-2107911</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of incorporation)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 Identification No.)</w:t>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6901 Rockledge Drive, Suite 800, Bethesda, Maryland 20817</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(301) 564-3200</w:t>
      </w:r>
    </w:p>
    <w:p>
      <w:pPr>
        <w:pStyle w:val="TextBody"/>
        <w:bidi w:val="0"/>
        <w:spacing w:lineRule="auto" w:line="417"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12(b) of the Act:</w:t>
      </w:r>
    </w:p>
    <w:tbl>
      <w:tblPr>
        <w:tblW w:w="9464" w:type="dxa"/>
        <w:jc w:val="left"/>
        <w:tblInd w:w="0" w:type="dxa"/>
        <w:tblLayout w:type="fixed"/>
        <w:tblCellMar>
          <w:top w:w="28" w:type="dxa"/>
          <w:left w:w="28" w:type="dxa"/>
          <w:bottom w:w="28" w:type="dxa"/>
          <w:right w:w="28" w:type="dxa"/>
        </w:tblCellMar>
      </w:tblPr>
      <w:tblGrid>
        <w:gridCol w:w="1502"/>
        <w:gridCol w:w="1323"/>
        <w:gridCol w:w="1330"/>
        <w:gridCol w:w="474"/>
        <w:gridCol w:w="474"/>
        <w:gridCol w:w="476"/>
        <w:gridCol w:w="1138"/>
        <w:gridCol w:w="1138"/>
        <w:gridCol w:w="1609"/>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Trading Symbol</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Name of Each Exchange on Which Registered</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Class A Common Stock, par value $0.10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LEU</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NYSE American</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811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09"/>
        <w:gridCol w:w="109"/>
        <w:gridCol w:w="109"/>
        <w:gridCol w:w="109"/>
        <w:gridCol w:w="599"/>
        <w:gridCol w:w="599"/>
        <w:gridCol w:w="601"/>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shell company (as defined in Rule 12b-2 of the Exchange Act). Yes ☐     No ☒</w:t>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As of August 1, 2024, there were 15,560,744 shares of the registrant’s Class A Common Stock, par value $0.10 per share, and 719,200 shares of the registrant’s Class B Common Stock, par value $0.10 per share, outstanding.</w:t>
      </w:r>
    </w:p>
    <w:p>
      <w:pPr>
        <w:pStyle w:val="TextBody"/>
        <w:bidi w:val="0"/>
        <w:spacing w:before="60" w:after="283"/>
        <w:ind w:left="0" w:right="0" w:firstLine="270"/>
        <w:jc w:val="left"/>
        <w:rPr/>
      </w:pPr>
      <w:r>
        <w:rPr/>
      </w:r>
    </w:p>
    <w:p>
      <w:pPr>
        <w:pStyle w:val="TextBody"/>
        <w:bidi w:val="0"/>
        <w:spacing w:before="60" w:after="283"/>
        <w:ind w:left="0" w:right="0" w:firstLine="27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205" w:type="dxa"/>
        <w:jc w:val="center"/>
        <w:tblInd w:w="0" w:type="dxa"/>
        <w:tblLayout w:type="fixed"/>
        <w:tblCellMar>
          <w:top w:w="28" w:type="dxa"/>
          <w:left w:w="28" w:type="dxa"/>
          <w:bottom w:w="28" w:type="dxa"/>
          <w:right w:w="28" w:type="dxa"/>
        </w:tblCellMar>
      </w:tblPr>
      <w:tblGrid>
        <w:gridCol w:w="293"/>
        <w:gridCol w:w="258"/>
        <w:gridCol w:w="259"/>
        <w:gridCol w:w="2919"/>
        <w:gridCol w:w="2919"/>
        <w:gridCol w:w="2923"/>
        <w:gridCol w:w="184"/>
        <w:gridCol w:w="184"/>
        <w:gridCol w:w="266"/>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Page</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PART I – FINANCIAL INFORMATION</w:t>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5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6">
              <w:r>
                <w:rPr>
                  <w:rStyle w:val="InternetLink"/>
                  <w:rFonts w:ascii="Times New Roman;sans-serif" w:hAnsi="Times New Roman;sans-serif"/>
                  <w:b w:val="false"/>
                  <w:color w:val="0000FF"/>
                  <w:sz w:val="22"/>
                  <w:u w:val="single"/>
                </w:rPr>
                <w:t>Item 1.</w:t>
              </w:r>
            </w:hyperlink>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6">
              <w:r>
                <w:rPr>
                  <w:rStyle w:val="InternetLink"/>
                  <w:rFonts w:ascii="Times New Roman;sans-serif" w:hAnsi="Times New Roman;sans-serif"/>
                  <w:b w:val="false"/>
                  <w:color w:val="0000FF"/>
                  <w:sz w:val="22"/>
                  <w:u w:val="single"/>
                </w:rPr>
                <w:t>Financial Statements (Unaudited):</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d31219547065405c82e30123f936469d_19">
              <w:r>
                <w:rPr>
                  <w:rStyle w:val="InternetLink"/>
                  <w:rFonts w:ascii="Times New Roman;sans-serif" w:hAnsi="Times New Roman;sans-serif"/>
                  <w:b w:val="false"/>
                  <w:color w:val="000080"/>
                  <w:sz w:val="22"/>
                  <w:u w:val="single"/>
                </w:rPr>
                <w:t xml:space="preserve">Consolidated Balance Sheets at </w:t>
              </w:r>
            </w:hyperlink>
            <w:hyperlink w:anchor="id31219547065405c82e30123f936469d_19">
              <w:r>
                <w:rPr>
                  <w:rStyle w:val="InternetLink"/>
                  <w:rFonts w:ascii="Times New Roman;sans-serif" w:hAnsi="Times New Roman;sans-serif"/>
                  <w:b w:val="false"/>
                  <w:color w:val="000080"/>
                  <w:sz w:val="22"/>
                  <w:u w:val="single"/>
                </w:rPr>
                <w:t>June</w:t>
              </w:r>
            </w:hyperlink>
            <w:hyperlink w:anchor="id31219547065405c82e30123f936469d_19">
              <w:r>
                <w:rPr>
                  <w:rStyle w:val="InternetLink"/>
                  <w:rFonts w:ascii="Times New Roman;sans-serif" w:hAnsi="Times New Roman;sans-serif"/>
                  <w:b w:val="false"/>
                  <w:color w:val="000080"/>
                  <w:sz w:val="22"/>
                  <w:u w:val="single"/>
                </w:rPr>
                <w:t xml:space="preserve"> 3</w:t>
              </w:r>
            </w:hyperlink>
            <w:hyperlink w:anchor="id31219547065405c82e30123f936469d_19">
              <w:r>
                <w:rPr>
                  <w:rStyle w:val="InternetLink"/>
                  <w:rFonts w:ascii="Times New Roman;sans-serif" w:hAnsi="Times New Roman;sans-serif"/>
                  <w:b w:val="false"/>
                  <w:color w:val="000080"/>
                  <w:sz w:val="22"/>
                  <w:u w:val="single"/>
                </w:rPr>
                <w:t>0</w:t>
              </w:r>
            </w:hyperlink>
            <w:hyperlink w:anchor="id31219547065405c82e30123f936469d_19">
              <w:r>
                <w:rPr>
                  <w:rStyle w:val="InternetLink"/>
                  <w:rFonts w:ascii="Times New Roman;sans-serif" w:hAnsi="Times New Roman;sans-serif"/>
                  <w:b w:val="false"/>
                  <w:color w:val="000080"/>
                  <w:sz w:val="22"/>
                  <w:u w:val="single"/>
                </w:rPr>
                <w:t>, 2024 and December 31, 2023</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1219547065405c82e30123f936469d_19">
              <w:r>
                <w:rPr>
                  <w:rStyle w:val="InternetLink"/>
                  <w:rFonts w:ascii="Times New Roman;sans-serif" w:hAnsi="Times New Roman;sans-serif"/>
                  <w:b w:val="false"/>
                  <w:color w:val="0000FF"/>
                  <w:sz w:val="22"/>
                  <w:u w:val="single"/>
                </w:rPr>
                <w:t>9</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4C16AE"/>
              </w:rPr>
            </w:pPr>
            <w:r>
              <w:rPr>
                <w:color w:val="4C16AE"/>
              </w:rPr>
              <w:t> </w:t>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d31219547065405c82e30123f936469d_25">
              <w:r>
                <w:rPr>
                  <w:rStyle w:val="InternetLink"/>
                  <w:rFonts w:ascii="Times New Roman;sans-serif" w:hAnsi="Times New Roman;sans-serif"/>
                  <w:b w:val="false"/>
                  <w:color w:val="000080"/>
                  <w:sz w:val="22"/>
                  <w:u w:val="single"/>
                </w:rPr>
                <w:t>Consolidated Statements of Operations and Comprehensive Income for the Three</w:t>
              </w:r>
            </w:hyperlink>
            <w:hyperlink w:anchor="id31219547065405c82e30123f936469d_25">
              <w:r>
                <w:rPr>
                  <w:rStyle w:val="InternetLink"/>
                  <w:rFonts w:ascii="Times New Roman;sans-serif" w:hAnsi="Times New Roman;sans-serif"/>
                  <w:b w:val="false"/>
                  <w:color w:val="000080"/>
                  <w:sz w:val="22"/>
                  <w:u w:val="single"/>
                </w:rPr>
                <w:t xml:space="preserve"> and Six</w:t>
              </w:r>
            </w:hyperlink>
            <w:hyperlink w:anchor="id31219547065405c82e30123f936469d_25">
              <w:r>
                <w:rPr>
                  <w:rStyle w:val="InternetLink"/>
                  <w:rFonts w:ascii="Times New Roman;sans-serif" w:hAnsi="Times New Roman;sans-serif"/>
                  <w:b w:val="false"/>
                  <w:color w:val="000080"/>
                  <w:sz w:val="22"/>
                  <w:u w:val="single"/>
                </w:rPr>
                <w:t xml:space="preserve"> Months Ended </w:t>
              </w:r>
            </w:hyperlink>
            <w:hyperlink w:anchor="id31219547065405c82e30123f936469d_25">
              <w:r>
                <w:rPr>
                  <w:rStyle w:val="InternetLink"/>
                  <w:rFonts w:ascii="Times New Roman;sans-serif" w:hAnsi="Times New Roman;sans-serif"/>
                  <w:b w:val="false"/>
                  <w:color w:val="000080"/>
                  <w:sz w:val="22"/>
                  <w:u w:val="single"/>
                </w:rPr>
                <w:t>June</w:t>
              </w:r>
            </w:hyperlink>
            <w:hyperlink w:anchor="id31219547065405c82e30123f936469d_25">
              <w:r>
                <w:rPr>
                  <w:rStyle w:val="InternetLink"/>
                  <w:rFonts w:ascii="Times New Roman;sans-serif" w:hAnsi="Times New Roman;sans-serif"/>
                  <w:b w:val="false"/>
                  <w:color w:val="000080"/>
                  <w:sz w:val="22"/>
                  <w:u w:val="single"/>
                </w:rPr>
                <w:t xml:space="preserve"> 3</w:t>
              </w:r>
            </w:hyperlink>
            <w:hyperlink w:anchor="id31219547065405c82e30123f936469d_25">
              <w:r>
                <w:rPr>
                  <w:rStyle w:val="InternetLink"/>
                  <w:rFonts w:ascii="Times New Roman;sans-serif" w:hAnsi="Times New Roman;sans-serif"/>
                  <w:b w:val="false"/>
                  <w:color w:val="000080"/>
                  <w:sz w:val="22"/>
                  <w:u w:val="single"/>
                </w:rPr>
                <w:t>0</w:t>
              </w:r>
            </w:hyperlink>
            <w:hyperlink w:anchor="id31219547065405c82e30123f936469d_25">
              <w:r>
                <w:rPr>
                  <w:rStyle w:val="InternetLink"/>
                  <w:rFonts w:ascii="Times New Roman;sans-serif" w:hAnsi="Times New Roman;sans-serif"/>
                  <w:b w:val="false"/>
                  <w:color w:val="000080"/>
                  <w:sz w:val="22"/>
                  <w:u w:val="single"/>
                </w:rPr>
                <w:t>, 2024 and 2023</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31219547065405c82e30123f936469d_25">
              <w:r>
                <w:rPr>
                  <w:rStyle w:val="InternetLink"/>
                  <w:rFonts w:ascii="Times New Roman;sans-serif" w:hAnsi="Times New Roman;sans-serif"/>
                  <w:b w:val="false"/>
                  <w:color w:val="0000FF"/>
                  <w:sz w:val="22"/>
                  <w:u w:val="single"/>
                </w:rPr>
                <w:t>10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d31219547065405c82e30123f936469d_28">
              <w:r>
                <w:rPr>
                  <w:rStyle w:val="InternetLink"/>
                  <w:rFonts w:ascii="Times New Roman;sans-serif" w:hAnsi="Times New Roman;sans-serif"/>
                  <w:b w:val="false"/>
                  <w:color w:val="000080"/>
                  <w:sz w:val="22"/>
                  <w:u w:val="single"/>
                </w:rPr>
                <w:t xml:space="preserve">Consolidated Statements of Cash Flows for the </w:t>
              </w:r>
            </w:hyperlink>
            <w:hyperlink w:anchor="id31219547065405c82e30123f936469d_28">
              <w:r>
                <w:rPr>
                  <w:rStyle w:val="InternetLink"/>
                  <w:rFonts w:ascii="Times New Roman;sans-serif" w:hAnsi="Times New Roman;sans-serif"/>
                  <w:b w:val="false"/>
                  <w:color w:val="000080"/>
                  <w:sz w:val="22"/>
                  <w:u w:val="single"/>
                </w:rPr>
                <w:t>S</w:t>
              </w:r>
            </w:hyperlink>
            <w:hyperlink w:anchor="id31219547065405c82e30123f936469d_28">
              <w:r>
                <w:rPr>
                  <w:rStyle w:val="InternetLink"/>
                  <w:rFonts w:ascii="Times New Roman;sans-serif" w:hAnsi="Times New Roman;sans-serif"/>
                  <w:b w:val="false"/>
                  <w:color w:val="000080"/>
                  <w:sz w:val="22"/>
                  <w:u w:val="single"/>
                </w:rPr>
                <w:t>ix</w:t>
              </w:r>
            </w:hyperlink>
            <w:hyperlink w:anchor="id31219547065405c82e30123f936469d_28">
              <w:r>
                <w:rPr>
                  <w:rStyle w:val="InternetLink"/>
                  <w:rFonts w:ascii="Times New Roman;sans-serif" w:hAnsi="Times New Roman;sans-serif"/>
                  <w:b w:val="false"/>
                  <w:color w:val="000080"/>
                  <w:sz w:val="22"/>
                  <w:u w:val="single"/>
                </w:rPr>
                <w:t xml:space="preserve"> Months Ended </w:t>
              </w:r>
            </w:hyperlink>
            <w:hyperlink w:anchor="id31219547065405c82e30123f936469d_28">
              <w:r>
                <w:rPr>
                  <w:rStyle w:val="InternetLink"/>
                  <w:rFonts w:ascii="Times New Roman;sans-serif" w:hAnsi="Times New Roman;sans-serif"/>
                  <w:b w:val="false"/>
                  <w:color w:val="000080"/>
                  <w:sz w:val="22"/>
                  <w:u w:val="single"/>
                </w:rPr>
                <w:t>June</w:t>
              </w:r>
            </w:hyperlink>
            <w:hyperlink w:anchor="id31219547065405c82e30123f936469d_28">
              <w:r>
                <w:rPr>
                  <w:rStyle w:val="InternetLink"/>
                  <w:rFonts w:ascii="Times New Roman;sans-serif" w:hAnsi="Times New Roman;sans-serif"/>
                  <w:b w:val="false"/>
                  <w:color w:val="000080"/>
                  <w:sz w:val="22"/>
                  <w:u w:val="single"/>
                </w:rPr>
                <w:t xml:space="preserve"> 3</w:t>
              </w:r>
            </w:hyperlink>
            <w:hyperlink w:anchor="id31219547065405c82e30123f936469d_28">
              <w:r>
                <w:rPr>
                  <w:rStyle w:val="InternetLink"/>
                  <w:rFonts w:ascii="Times New Roman;sans-serif" w:hAnsi="Times New Roman;sans-serif"/>
                  <w:b w:val="false"/>
                  <w:color w:val="000080"/>
                  <w:sz w:val="22"/>
                  <w:u w:val="single"/>
                </w:rPr>
                <w:t>0</w:t>
              </w:r>
            </w:hyperlink>
            <w:hyperlink w:anchor="id31219547065405c82e30123f936469d_28">
              <w:r>
                <w:rPr>
                  <w:rStyle w:val="InternetLink"/>
                  <w:rFonts w:ascii="Times New Roman;sans-serif" w:hAnsi="Times New Roman;sans-serif"/>
                  <w:b w:val="false"/>
                  <w:color w:val="000080"/>
                  <w:sz w:val="22"/>
                  <w:u w:val="single"/>
                </w:rPr>
                <w:t>, 2024 and 2023</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1219547065405c82e30123f936469d_28">
              <w:r>
                <w:rPr>
                  <w:rStyle w:val="InternetLink"/>
                  <w:rFonts w:ascii="Times New Roman;sans-serif" w:hAnsi="Times New Roman;sans-serif"/>
                  <w:b w:val="false"/>
                  <w:color w:val="0000FF"/>
                  <w:sz w:val="22"/>
                  <w:u w:val="single"/>
                </w:rPr>
                <w:t>11</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d31219547065405c82e30123f936469d_31">
              <w:r>
                <w:rPr>
                  <w:rStyle w:val="InternetLink"/>
                  <w:rFonts w:ascii="Times New Roman;sans-serif" w:hAnsi="Times New Roman;sans-serif"/>
                  <w:b w:val="false"/>
                  <w:color w:val="000080"/>
                  <w:sz w:val="22"/>
                  <w:u w:val="single"/>
                </w:rPr>
                <w:t xml:space="preserve">Consolidated Statements of Stockholders’ Equity (Deficit) for the Three </w:t>
              </w:r>
            </w:hyperlink>
            <w:hyperlink w:anchor="id31219547065405c82e30123f936469d_31">
              <w:r>
                <w:rPr>
                  <w:rStyle w:val="InternetLink"/>
                  <w:rFonts w:ascii="Times New Roman;sans-serif" w:hAnsi="Times New Roman;sans-serif"/>
                  <w:b w:val="false"/>
                  <w:color w:val="000080"/>
                  <w:sz w:val="22"/>
                  <w:u w:val="single"/>
                </w:rPr>
                <w:t xml:space="preserve">and Six </w:t>
              </w:r>
            </w:hyperlink>
            <w:hyperlink w:anchor="id31219547065405c82e30123f936469d_31">
              <w:r>
                <w:rPr>
                  <w:rStyle w:val="InternetLink"/>
                  <w:rFonts w:ascii="Times New Roman;sans-serif" w:hAnsi="Times New Roman;sans-serif"/>
                  <w:b w:val="false"/>
                  <w:color w:val="000080"/>
                  <w:sz w:val="22"/>
                  <w:u w:val="single"/>
                </w:rPr>
                <w:t xml:space="preserve">Months Ended </w:t>
              </w:r>
            </w:hyperlink>
            <w:hyperlink w:anchor="id31219547065405c82e30123f936469d_31">
              <w:r>
                <w:rPr>
                  <w:rStyle w:val="InternetLink"/>
                  <w:rFonts w:ascii="Times New Roman;sans-serif" w:hAnsi="Times New Roman;sans-serif"/>
                  <w:b w:val="false"/>
                  <w:color w:val="000080"/>
                  <w:sz w:val="22"/>
                  <w:u w:val="single"/>
                </w:rPr>
                <w:t>June</w:t>
              </w:r>
            </w:hyperlink>
            <w:hyperlink w:anchor="id31219547065405c82e30123f936469d_31">
              <w:r>
                <w:rPr>
                  <w:rStyle w:val="InternetLink"/>
                  <w:rFonts w:ascii="Times New Roman;sans-serif" w:hAnsi="Times New Roman;sans-serif"/>
                  <w:b w:val="false"/>
                  <w:color w:val="000080"/>
                  <w:sz w:val="22"/>
                  <w:u w:val="single"/>
                </w:rPr>
                <w:t xml:space="preserve"> 3</w:t>
              </w:r>
            </w:hyperlink>
            <w:hyperlink w:anchor="id31219547065405c82e30123f936469d_31">
              <w:r>
                <w:rPr>
                  <w:rStyle w:val="InternetLink"/>
                  <w:rFonts w:ascii="Times New Roman;sans-serif" w:hAnsi="Times New Roman;sans-serif"/>
                  <w:b w:val="false"/>
                  <w:color w:val="000080"/>
                  <w:sz w:val="22"/>
                  <w:u w:val="single"/>
                </w:rPr>
                <w:t>0</w:t>
              </w:r>
            </w:hyperlink>
            <w:hyperlink w:anchor="id31219547065405c82e30123f936469d_31">
              <w:r>
                <w:rPr>
                  <w:rStyle w:val="InternetLink"/>
                  <w:rFonts w:ascii="Times New Roman;sans-serif" w:hAnsi="Times New Roman;sans-serif"/>
                  <w:b w:val="false"/>
                  <w:color w:val="000080"/>
                  <w:sz w:val="22"/>
                  <w:u w:val="single"/>
                </w:rPr>
                <w:t>, 2024 and 2023</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31219547065405c82e30123f936469d_31">
              <w:r>
                <w:rPr>
                  <w:rStyle w:val="InternetLink"/>
                  <w:rFonts w:ascii="Times New Roman;sans-serif" w:hAnsi="Times New Roman;sans-serif"/>
                  <w:b w:val="false"/>
                  <w:color w:val="0000FF"/>
                  <w:sz w:val="22"/>
                  <w:u w:val="single"/>
                </w:rPr>
                <w:t>12</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34">
              <w:r>
                <w:rPr>
                  <w:rStyle w:val="InternetLink"/>
                  <w:rFonts w:ascii="Times New Roman;sans-serif" w:hAnsi="Times New Roman;sans-serif"/>
                  <w:b w:val="false"/>
                  <w:color w:val="0000FF"/>
                  <w:sz w:val="22"/>
                  <w:u w:val="single"/>
                </w:rPr>
                <w:t>Notes to Consolidated Financial Statements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1219547065405c82e30123f936469d_34">
              <w:r>
                <w:rPr>
                  <w:rStyle w:val="InternetLink"/>
                  <w:rFonts w:ascii="Times New Roman;sans-serif" w:hAnsi="Times New Roman;sans-serif"/>
                  <w:b w:val="false"/>
                  <w:color w:val="0000FF"/>
                  <w:sz w:val="22"/>
                  <w:u w:val="single"/>
                </w:rPr>
                <w:t>13</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18">
              <w:r>
                <w:rPr>
                  <w:rStyle w:val="InternetLink"/>
                  <w:rFonts w:ascii="Times New Roman;sans-serif" w:hAnsi="Times New Roman;sans-serif"/>
                  <w:b w:val="false"/>
                  <w:color w:val="0000FF"/>
                  <w:sz w:val="22"/>
                  <w:u w:val="single"/>
                </w:rPr>
                <w:t>Item 2.</w:t>
              </w:r>
            </w:hyperlink>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18">
              <w:r>
                <w:rPr>
                  <w:rStyle w:val="InternetLink"/>
                  <w:rFonts w:ascii="Times New Roman;sans-serif" w:hAnsi="Times New Roman;sans-serif"/>
                  <w:b w:val="false"/>
                  <w:color w:val="0000FF"/>
                  <w:sz w:val="22"/>
                  <w:u w:val="single"/>
                </w:rPr>
                <w:t>Management's Discussion and Analysis of Financial Condition and Results of Operations</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31219547065405c82e30123f936469d_118">
              <w:r>
                <w:rPr>
                  <w:rStyle w:val="InternetLink"/>
                  <w:rFonts w:ascii="Times New Roman;sans-serif" w:hAnsi="Times New Roman;sans-serif"/>
                  <w:b w:val="false"/>
                  <w:color w:val="0000FF"/>
                  <w:sz w:val="22"/>
                  <w:u w:val="single"/>
                </w:rPr>
                <w:t>29</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33">
              <w:r>
                <w:rPr>
                  <w:rStyle w:val="InternetLink"/>
                  <w:rFonts w:ascii="Times New Roman;sans-serif" w:hAnsi="Times New Roman;sans-serif"/>
                  <w:b w:val="false"/>
                  <w:color w:val="0000FF"/>
                  <w:sz w:val="22"/>
                  <w:u w:val="single"/>
                </w:rPr>
                <w:t>Item 3.</w:t>
              </w:r>
            </w:hyperlink>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33">
              <w:r>
                <w:rPr>
                  <w:rStyle w:val="InternetLink"/>
                  <w:rFonts w:ascii="Times New Roman;sans-serif" w:hAnsi="Times New Roman;sans-serif"/>
                  <w:b w:val="false"/>
                  <w:color w:val="0000FF"/>
                  <w:sz w:val="22"/>
                  <w:u w:val="single"/>
                </w:rPr>
                <w:t>Quantitative and Qualitative Disclosures About Market Risk</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1219547065405c82e30123f936469d_133">
              <w:r>
                <w:rPr>
                  <w:rStyle w:val="InternetLink"/>
                  <w:rFonts w:ascii="Times New Roman;sans-serif" w:hAnsi="Times New Roman;sans-serif"/>
                  <w:b w:val="false"/>
                  <w:color w:val="0000FF"/>
                  <w:sz w:val="22"/>
                  <w:u w:val="single"/>
                </w:rPr>
                <w:t>50</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36">
              <w:r>
                <w:rPr>
                  <w:rStyle w:val="InternetLink"/>
                  <w:rFonts w:ascii="Times New Roman;sans-serif" w:hAnsi="Times New Roman;sans-serif"/>
                  <w:b w:val="false"/>
                  <w:color w:val="0000FF"/>
                  <w:sz w:val="22"/>
                  <w:u w:val="single"/>
                </w:rPr>
                <w:t>Item 4.</w:t>
              </w:r>
            </w:hyperlink>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36">
              <w:r>
                <w:rPr>
                  <w:rStyle w:val="InternetLink"/>
                  <w:rFonts w:ascii="Times New Roman;sans-serif" w:hAnsi="Times New Roman;sans-serif"/>
                  <w:b w:val="false"/>
                  <w:color w:val="0000FF"/>
                  <w:sz w:val="22"/>
                  <w:u w:val="single"/>
                </w:rPr>
                <w:t>Controls and Procedures</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31219547065405c82e30123f936469d_136">
              <w:r>
                <w:rPr>
                  <w:rStyle w:val="InternetLink"/>
                  <w:rFonts w:ascii="Times New Roman;sans-serif" w:hAnsi="Times New Roman;sans-serif"/>
                  <w:b w:val="false"/>
                  <w:color w:val="0000FF"/>
                  <w:sz w:val="22"/>
                  <w:u w:val="single"/>
                </w:rPr>
                <w:t>50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PART II – OTHER INFORMATION</w:t>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42">
              <w:r>
                <w:rPr>
                  <w:rStyle w:val="InternetLink"/>
                  <w:rFonts w:ascii="Times New Roman;sans-serif" w:hAnsi="Times New Roman;sans-serif"/>
                  <w:b w:val="false"/>
                  <w:color w:val="0000FF"/>
                  <w:sz w:val="22"/>
                  <w:u w:val="single"/>
                </w:rPr>
                <w:t>Item 1.</w:t>
              </w:r>
            </w:hyperlink>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42">
              <w:r>
                <w:rPr>
                  <w:rStyle w:val="InternetLink"/>
                  <w:rFonts w:ascii="Times New Roman;sans-serif" w:hAnsi="Times New Roman;sans-serif"/>
                  <w:b w:val="false"/>
                  <w:color w:val="0000FF"/>
                  <w:sz w:val="22"/>
                  <w:u w:val="single"/>
                </w:rPr>
                <w:t>Legal Proceedings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1219547065405c82e30123f936469d_142">
              <w:r>
                <w:rPr>
                  <w:rStyle w:val="InternetLink"/>
                  <w:rFonts w:ascii="Times New Roman;sans-serif" w:hAnsi="Times New Roman;sans-serif"/>
                  <w:b w:val="false"/>
                  <w:color w:val="0000FF"/>
                  <w:sz w:val="22"/>
                  <w:u w:val="single"/>
                </w:rPr>
                <w:t>51</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45">
              <w:r>
                <w:rPr>
                  <w:rStyle w:val="InternetLink"/>
                  <w:rFonts w:ascii="Times New Roman;sans-serif" w:hAnsi="Times New Roman;sans-serif"/>
                  <w:b w:val="false"/>
                  <w:color w:val="0000FF"/>
                  <w:sz w:val="22"/>
                  <w:u w:val="single"/>
                </w:rPr>
                <w:t>Item 1A.</w:t>
              </w:r>
            </w:hyperlink>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45">
              <w:r>
                <w:rPr>
                  <w:rStyle w:val="InternetLink"/>
                  <w:rFonts w:ascii="Times New Roman;sans-serif" w:hAnsi="Times New Roman;sans-serif"/>
                  <w:b w:val="false"/>
                  <w:color w:val="0000FF"/>
                  <w:sz w:val="22"/>
                  <w:u w:val="single"/>
                </w:rPr>
                <w:t>Risk Factors</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31219547065405c82e30123f936469d_145">
              <w:r>
                <w:rPr>
                  <w:rStyle w:val="InternetLink"/>
                  <w:rFonts w:ascii="Times New Roman;sans-serif" w:hAnsi="Times New Roman;sans-serif"/>
                  <w:b w:val="false"/>
                  <w:color w:val="0000FF"/>
                  <w:sz w:val="22"/>
                  <w:u w:val="single"/>
                </w:rPr>
                <w:t>51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48">
              <w:r>
                <w:rPr>
                  <w:rStyle w:val="InternetLink"/>
                  <w:rFonts w:ascii="Times New Roman;sans-serif" w:hAnsi="Times New Roman;sans-serif"/>
                  <w:b w:val="false"/>
                  <w:color w:val="0000FF"/>
                  <w:sz w:val="22"/>
                  <w:u w:val="single"/>
                </w:rPr>
                <w:t>Item 5.</w:t>
              </w:r>
            </w:hyperlink>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48">
              <w:r>
                <w:rPr>
                  <w:rStyle w:val="InternetLink"/>
                  <w:rFonts w:ascii="Times New Roman;sans-serif" w:hAnsi="Times New Roman;sans-serif"/>
                  <w:b w:val="false"/>
                  <w:color w:val="0000FF"/>
                  <w:sz w:val="22"/>
                  <w:u w:val="single"/>
                </w:rPr>
                <w:t>Other Information</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1219547065405c82e30123f936469d_148">
              <w:r>
                <w:rPr>
                  <w:rStyle w:val="InternetLink"/>
                  <w:rFonts w:ascii="Times New Roman;sans-serif" w:hAnsi="Times New Roman;sans-serif"/>
                  <w:b w:val="false"/>
                  <w:color w:val="0000FF"/>
                  <w:sz w:val="22"/>
                  <w:u w:val="single"/>
                </w:rPr>
                <w:t>51</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51">
              <w:r>
                <w:rPr>
                  <w:rStyle w:val="InternetLink"/>
                  <w:rFonts w:ascii="Times New Roman;sans-serif" w:hAnsi="Times New Roman;sans-serif"/>
                  <w:b w:val="false"/>
                  <w:color w:val="0000FF"/>
                  <w:sz w:val="22"/>
                  <w:u w:val="single"/>
                </w:rPr>
                <w:t>Item 6.</w:t>
              </w:r>
            </w:hyperlink>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51">
              <w:r>
                <w:rPr>
                  <w:rStyle w:val="InternetLink"/>
                  <w:rFonts w:ascii="Times New Roman;sans-serif" w:hAnsi="Times New Roman;sans-serif"/>
                  <w:b w:val="false"/>
                  <w:color w:val="0000FF"/>
                  <w:sz w:val="22"/>
                  <w:u w:val="single"/>
                </w:rPr>
                <w:t>Exhibits</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31219547065405c82e30123f936469d_151">
              <w:r>
                <w:rPr>
                  <w:rStyle w:val="InternetLink"/>
                  <w:rFonts w:ascii="Times New Roman;sans-serif" w:hAnsi="Times New Roman;sans-serif"/>
                  <w:b w:val="false"/>
                  <w:color w:val="0000FF"/>
                  <w:sz w:val="22"/>
                  <w:u w:val="single"/>
                </w:rPr>
                <w:t>52</w:t>
              </w:r>
            </w:hyperlink>
          </w:p>
        </w:tc>
      </w:tr>
      <w:tr>
        <w:trPr/>
        <w:tc>
          <w:tcPr>
            <w:tcW w:w="957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1219547065405c82e30123f936469d_154">
              <w:r>
                <w:rPr>
                  <w:rStyle w:val="InternetLink"/>
                  <w:rFonts w:ascii="Times New Roman;sans-serif" w:hAnsi="Times New Roman;sans-serif"/>
                  <w:b w:val="false"/>
                  <w:color w:val="0000FF"/>
                  <w:sz w:val="22"/>
                  <w:u w:val="single"/>
                </w:rPr>
                <w:t>Signatures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31219547065405c82e30123f936469d_154">
              <w:r>
                <w:rPr>
                  <w:rStyle w:val="InternetLink"/>
                  <w:rFonts w:ascii="Times New Roman;sans-serif" w:hAnsi="Times New Roman;sans-serif"/>
                  <w:b w:val="false"/>
                  <w:color w:val="0000FF"/>
                  <w:sz w:val="22"/>
                  <w:u w:val="single"/>
                </w:rPr>
                <w:t>53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Glossary of Certain Terms and Abbreviations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9"/>
        <w:gridCol w:w="687"/>
        <w:gridCol w:w="613"/>
        <w:gridCol w:w="2901"/>
        <w:gridCol w:w="2209"/>
        <w:gridCol w:w="3016"/>
      </w:tblGrid>
      <w:tr>
        <w:trPr/>
        <w:tc>
          <w:tcPr>
            <w:tcW w:w="7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Centrus Energy Corp. and Related Entities</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ACO</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American Centrifuge Operating LLC, a subsidiary of Centrus</w:t>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w:t>
            </w:r>
          </w:p>
        </w:tc>
        <w:tc>
          <w:tcPr>
            <w:tcW w:w="8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Centrus Energy Corp.’s Board of Directors</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Centrus</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Centrus Energy Corp.</w:t>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Enrichment Corp.</w:t>
            </w:r>
          </w:p>
        </w:tc>
        <w:tc>
          <w:tcPr>
            <w:tcW w:w="8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Enrichment Corporation, a subsidiary of Centrus</w:t>
            </w:r>
          </w:p>
        </w:tc>
      </w:tr>
      <w:tr>
        <w:trPr/>
        <w:tc>
          <w:tcPr>
            <w:tcW w:w="2079" w:type="dxa"/>
            <w:gridSpan w:val="3"/>
            <w:tcBorders/>
            <w:vAlign w:val="center"/>
          </w:tcPr>
          <w:p>
            <w:pPr>
              <w:pStyle w:val="TableContents"/>
              <w:bidi w:val="0"/>
              <w:spacing w:before="0" w:after="283"/>
              <w:jc w:val="left"/>
              <w:rPr>
                <w:sz w:val="4"/>
                <w:szCs w:val="4"/>
              </w:rPr>
            </w:pPr>
            <w:r>
              <w:rPr>
                <w:sz w:val="4"/>
                <w:szCs w:val="4"/>
              </w:rPr>
            </w:r>
          </w:p>
        </w:tc>
        <w:tc>
          <w:tcPr>
            <w:tcW w:w="8126" w:type="dxa"/>
            <w:gridSpan w:val="3"/>
            <w:tcBorders/>
            <w:vAlign w:val="center"/>
          </w:tcPr>
          <w:p>
            <w:pPr>
              <w:pStyle w:val="TableContents"/>
              <w:bidi w:val="0"/>
              <w:spacing w:before="0" w:after="283"/>
              <w:jc w:val="left"/>
              <w:rPr>
                <w:sz w:val="4"/>
                <w:szCs w:val="4"/>
              </w:rPr>
            </w:pPr>
            <w:r>
              <w:rPr>
                <w:sz w:val="4"/>
                <w:szCs w:val="4"/>
              </w:rPr>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Paducah GDP</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Paducah Gaseous Diffusion Plant, an enrichment plant in Paducah, Kentucky, formerly operated by Enrichment Corp.</w:t>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Piketon</w:t>
            </w:r>
          </w:p>
        </w:tc>
        <w:tc>
          <w:tcPr>
            <w:tcW w:w="8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Production facility in Piketon, Ohio</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Portsmouth GDP</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Portsmouth Gaseous Diffusion Plant, an enrichment plant near Portsmouth, Ohio, formerly operated by Enrichment Corp.</w:t>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USEC-Government</w:t>
            </w:r>
          </w:p>
        </w:tc>
        <w:tc>
          <w:tcPr>
            <w:tcW w:w="8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Enrichment Corp. prior to 1993, when it was a wholly-owned government corporation</w:t>
            </w:r>
          </w:p>
        </w:tc>
      </w:tr>
      <w:tr>
        <w:trPr/>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Terms and Abbreviations</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2002 DOE-USEC Agreement</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17, 2002 agreement between Centrus (then known as USEC Inc.) and the DOE</w:t>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5B Cylinders</w:t>
            </w:r>
          </w:p>
        </w:tc>
        <w:tc>
          <w:tcPr>
            <w:tcW w:w="8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Storage cylinders for HALEU UF</w:t>
            </w: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produced by the cascade</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8.25% Notes</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8.25% Notes, maturing February 2027</w:t>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American Centrifuge</w:t>
            </w:r>
          </w:p>
        </w:tc>
        <w:tc>
          <w:tcPr>
            <w:tcW w:w="8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Advanced uranium enrichment gas centrifuge technology previously developed, based on the proven workable U.S. centrifuge technology developed by DOE in the mid-1980s and utilized in a demonstration facility in 2012-2013</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American Centrifuge Plant</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Refers to a demonstration facility in Piketon, Ohio where USEC planned to install a lead cascade of centrifuge machines to demonstrate the American Centrifuge technology under the terms of the 2002 DOE-USEC Agreement</w:t>
            </w:r>
          </w:p>
        </w:tc>
      </w:tr>
      <w:tr>
        <w:trPr/>
        <w:tc>
          <w:tcPr>
            <w:tcW w:w="2079" w:type="dxa"/>
            <w:gridSpan w:val="3"/>
            <w:tcBorders/>
            <w:vAlign w:val="center"/>
          </w:tcPr>
          <w:p>
            <w:pPr>
              <w:pStyle w:val="TableContents"/>
              <w:bidi w:val="0"/>
              <w:spacing w:before="0" w:after="283"/>
              <w:jc w:val="left"/>
              <w:rPr>
                <w:sz w:val="4"/>
                <w:szCs w:val="4"/>
              </w:rPr>
            </w:pPr>
            <w:r>
              <w:rPr>
                <w:sz w:val="4"/>
                <w:szCs w:val="4"/>
              </w:rPr>
            </w:r>
          </w:p>
        </w:tc>
        <w:tc>
          <w:tcPr>
            <w:tcW w:w="8126" w:type="dxa"/>
            <w:gridSpan w:val="3"/>
            <w:tcBorders/>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ARDP</w:t>
            </w:r>
          </w:p>
        </w:tc>
        <w:tc>
          <w:tcPr>
            <w:tcW w:w="8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Advanced Reactor Demonstration Program</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Market</w:t>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8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$0.10 par value per share</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$0.10 par value per share</w:t>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8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and Class B Common Stock</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D&amp;D</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Decontamination &amp; Decommissioning</w:t>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w:t>
            </w:r>
          </w:p>
        </w:tc>
        <w:tc>
          <w:tcPr>
            <w:tcW w:w="8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Commerce</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Energy</w:t>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8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2079" w:type="dxa"/>
            <w:gridSpan w:val="3"/>
            <w:tcBorders/>
            <w:vAlign w:val="center"/>
          </w:tcPr>
          <w:p>
            <w:pPr>
              <w:pStyle w:val="TableContents"/>
              <w:bidi w:val="0"/>
              <w:spacing w:before="0" w:after="283"/>
              <w:jc w:val="left"/>
              <w:rPr>
                <w:sz w:val="4"/>
                <w:szCs w:val="4"/>
              </w:rPr>
            </w:pPr>
            <w:r>
              <w:rPr>
                <w:sz w:val="4"/>
                <w:szCs w:val="4"/>
              </w:rPr>
            </w:r>
          </w:p>
        </w:tc>
        <w:tc>
          <w:tcPr>
            <w:tcW w:w="8126" w:type="dxa"/>
            <w:gridSpan w:val="3"/>
            <w:tcBorders/>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w:t>
            </w:r>
          </w:p>
        </w:tc>
        <w:tc>
          <w:tcPr>
            <w:tcW w:w="8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 Assay Low-Enriched Uranium</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 Demonstration Contract</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Three-year, $115 million cost-share contract with DOE signed in 2019 by Centrus’ subsidiary, ACO</w:t>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 Operation Contract</w:t>
            </w:r>
          </w:p>
        </w:tc>
        <w:tc>
          <w:tcPr>
            <w:tcW w:w="8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 production contract with DOE signed in 2022</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IEA</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Energy Agency</w:t>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Import Ban Act</w:t>
            </w:r>
          </w:p>
        </w:tc>
        <w:tc>
          <w:tcPr>
            <w:tcW w:w="8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“Prohibiting Russian Uranium Imports Act” enacted in May 2024 that bans imports of LEU from Russia into the U.S., effective August 11, 2024, subject to issuance of waivers by the DOE</w:t>
            </w:r>
          </w:p>
        </w:tc>
      </w:tr>
      <w:tr>
        <w:trPr/>
        <w:tc>
          <w:tcPr>
            <w:tcW w:w="2079" w:type="dxa"/>
            <w:gridSpan w:val="3"/>
            <w:tcBorders/>
            <w:vAlign w:val="center"/>
          </w:tcPr>
          <w:p>
            <w:pPr>
              <w:pStyle w:val="TableContents"/>
              <w:bidi w:val="0"/>
              <w:spacing w:before="0" w:after="283"/>
              <w:jc w:val="left"/>
              <w:rPr>
                <w:sz w:val="4"/>
                <w:szCs w:val="4"/>
              </w:rPr>
            </w:pPr>
            <w:r>
              <w:rPr>
                <w:sz w:val="4"/>
                <w:szCs w:val="4"/>
              </w:rPr>
            </w:r>
          </w:p>
        </w:tc>
        <w:tc>
          <w:tcPr>
            <w:tcW w:w="8126" w:type="dxa"/>
            <w:gridSpan w:val="3"/>
            <w:tcBorders/>
            <w:vAlign w:val="center"/>
          </w:tcPr>
          <w:p>
            <w:pPr>
              <w:pStyle w:val="TableContents"/>
              <w:bidi w:val="0"/>
              <w:spacing w:before="0" w:after="283"/>
              <w:jc w:val="left"/>
              <w:rPr>
                <w:sz w:val="4"/>
                <w:szCs w:val="4"/>
              </w:rPr>
            </w:pPr>
            <w:r>
              <w:rPr>
                <w:sz w:val="4"/>
                <w:szCs w:val="4"/>
              </w:rPr>
            </w:r>
          </w:p>
        </w:tc>
      </w:tr>
      <w:tr>
        <w:trPr/>
        <w:tc>
          <w:tcPr>
            <w:tcW w:w="2079" w:type="dxa"/>
            <w:gridSpan w:val="3"/>
            <w:tcBorders/>
            <w:vAlign w:val="center"/>
          </w:tcPr>
          <w:p>
            <w:pPr>
              <w:pStyle w:val="TableContents"/>
              <w:bidi w:val="0"/>
              <w:spacing w:before="0" w:after="283"/>
              <w:jc w:val="left"/>
              <w:rPr>
                <w:sz w:val="4"/>
                <w:szCs w:val="4"/>
              </w:rPr>
            </w:pPr>
            <w:r>
              <w:rPr>
                <w:sz w:val="4"/>
                <w:szCs w:val="4"/>
              </w:rPr>
            </w:r>
          </w:p>
        </w:tc>
        <w:tc>
          <w:tcPr>
            <w:tcW w:w="8126" w:type="dxa"/>
            <w:gridSpan w:val="3"/>
            <w:tcBorders/>
            <w:vAlign w:val="center"/>
          </w:tcPr>
          <w:p>
            <w:pPr>
              <w:pStyle w:val="TableContents"/>
              <w:bidi w:val="0"/>
              <w:spacing w:before="0" w:after="283"/>
              <w:jc w:val="left"/>
              <w:rPr>
                <w:sz w:val="4"/>
                <w:szCs w:val="4"/>
              </w:rPr>
            </w:pPr>
            <w:r>
              <w:rPr>
                <w:sz w:val="4"/>
                <w:szCs w:val="4"/>
              </w:rPr>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LEU</w:t>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Low-Enriched Uranium; term is also used to refer to the Centrus Energy Corp. business segment which supplies commercial customers with various components of nuclear fuel</w:t>
            </w:r>
          </w:p>
        </w:tc>
      </w:tr>
      <w:tr>
        <w:trPr/>
        <w:tc>
          <w:tcPr>
            <w:tcW w:w="2079" w:type="dxa"/>
            <w:gridSpan w:val="3"/>
            <w:tcBorders/>
            <w:vAlign w:val="center"/>
          </w:tcPr>
          <w:p>
            <w:pPr>
              <w:pStyle w:val="TableContents"/>
              <w:bidi w:val="0"/>
              <w:spacing w:before="0" w:after="283"/>
              <w:jc w:val="left"/>
              <w:rPr>
                <w:sz w:val="4"/>
                <w:szCs w:val="4"/>
              </w:rPr>
            </w:pPr>
            <w:r>
              <w:rPr>
                <w:sz w:val="4"/>
                <w:szCs w:val="4"/>
              </w:rPr>
            </w:r>
          </w:p>
        </w:tc>
        <w:tc>
          <w:tcPr>
            <w:tcW w:w="812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7"/>
        <w:gridCol w:w="508"/>
        <w:gridCol w:w="485"/>
        <w:gridCol w:w="2776"/>
        <w:gridCol w:w="2331"/>
        <w:gridCol w:w="3318"/>
      </w:tblGrid>
      <w:tr>
        <w:trPr/>
        <w:tc>
          <w:tcPr>
            <w:tcW w:w="78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Uranium</w:t>
            </w:r>
          </w:p>
        </w:tc>
        <w:tc>
          <w:tcPr>
            <w:tcW w:w="8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 needed to produce LEU and HALEU</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w:t>
            </w:r>
          </w:p>
        </w:tc>
        <w:tc>
          <w:tcPr>
            <w:tcW w:w="8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w:t>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w:t>
            </w:r>
          </w:p>
        </w:tc>
        <w:tc>
          <w:tcPr>
            <w:tcW w:w="8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Nuclear Regulatory Commission</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NUBIL</w:t>
            </w:r>
          </w:p>
        </w:tc>
        <w:tc>
          <w:tcPr>
            <w:tcW w:w="8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built-in loss</w:t>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Orano</w:t>
            </w:r>
          </w:p>
        </w:tc>
        <w:tc>
          <w:tcPr>
            <w:tcW w:w="8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Orano Cycle</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Orano Supply Agreement</w:t>
            </w:r>
          </w:p>
        </w:tc>
        <w:tc>
          <w:tcPr>
            <w:tcW w:w="8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supply of SWU contained in LEU, signed by Enrichment Corp. with Orano in 2018 </w:t>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8425"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MOU</w:t>
            </w:r>
          </w:p>
        </w:tc>
        <w:tc>
          <w:tcPr>
            <w:tcW w:w="8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Memorandum of understanding between the DOE and USEC-Government</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Price-Anderson Act</w:t>
            </w:r>
          </w:p>
        </w:tc>
        <w:tc>
          <w:tcPr>
            <w:tcW w:w="8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Price-Anderson Nuclear Industries Indemnity Act (Section 170 of the U.S. Atomic Energy Act of 1954, as amended)</w:t>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RFP</w:t>
            </w:r>
          </w:p>
        </w:tc>
        <w:tc>
          <w:tcPr>
            <w:tcW w:w="8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Request for Proposal</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Agreement</w:t>
            </w:r>
          </w:p>
        </w:tc>
        <w:tc>
          <w:tcPr>
            <w:tcW w:w="8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Section 382 Rights Agreement, dated as of April 6, 2016, by and among the Company and Computershare Trust Company, N.A. and Computershare Inc., as rights agent, as amended</w:t>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Rosatom</w:t>
            </w:r>
          </w:p>
        </w:tc>
        <w:tc>
          <w:tcPr>
            <w:tcW w:w="8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Russian State Atomic Energy Corporation</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w:t>
            </w:r>
          </w:p>
        </w:tc>
        <w:tc>
          <w:tcPr>
            <w:tcW w:w="8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1992 Russian Suspension Agreement, as amended</w:t>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8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&amp; Exchange Commission</w:t>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SWU</w:t>
            </w:r>
          </w:p>
        </w:tc>
        <w:tc>
          <w:tcPr>
            <w:tcW w:w="8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Separative work unit</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Technical Solutions</w:t>
            </w:r>
          </w:p>
        </w:tc>
        <w:tc>
          <w:tcPr>
            <w:tcW w:w="8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Centrus business segment which offers technical, manufacturing, engineering, and operations services to public and private sector customers</w:t>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TENEX</w:t>
            </w:r>
          </w:p>
        </w:tc>
        <w:tc>
          <w:tcPr>
            <w:tcW w:w="8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government-owned entity TENEX, Joint-Stock Company</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TENEX Supply Contract</w:t>
            </w:r>
          </w:p>
        </w:tc>
        <w:tc>
          <w:tcPr>
            <w:tcW w:w="8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 with TENEX through 2028</w:t>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8425"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c>
          <w:tcPr>
            <w:tcW w:w="8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8425"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w:t>
            </w:r>
            <w:r>
              <w:rPr>
                <w:rFonts w:ascii="Times New Roman;sans-serif" w:hAnsi="Times New Roman;sans-serif"/>
                <w:b w:val="false"/>
                <w:color w:val="000000"/>
                <w:sz w:val="13"/>
              </w:rPr>
              <w:t>3</w:t>
            </w:r>
            <w:r>
              <w:rPr>
                <w:rFonts w:ascii="Times New Roman;sans-serif" w:hAnsi="Times New Roman;sans-serif"/>
                <w:b w:val="false"/>
                <w:color w:val="000000"/>
                <w:sz w:val="20"/>
              </w:rPr>
              <w:t>O</w:t>
            </w:r>
            <w:r>
              <w:rPr>
                <w:rFonts w:ascii="Times New Roman;sans-serif" w:hAnsi="Times New Roman;sans-serif"/>
                <w:b w:val="false"/>
                <w:color w:val="000000"/>
                <w:sz w:val="13"/>
              </w:rPr>
              <w:t>8</w:t>
            </w:r>
          </w:p>
        </w:tc>
        <w:tc>
          <w:tcPr>
            <w:tcW w:w="8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Uranium oxide, aka “yellowcake”</w:t>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UF</w:t>
            </w:r>
            <w:r>
              <w:rPr>
                <w:rFonts w:ascii="Times New Roman;sans-serif" w:hAnsi="Times New Roman;sans-serif"/>
                <w:b w:val="false"/>
                <w:color w:val="000000"/>
                <w:sz w:val="13"/>
              </w:rPr>
              <w:t>6</w:t>
            </w:r>
          </w:p>
        </w:tc>
        <w:tc>
          <w:tcPr>
            <w:tcW w:w="8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Uranium hexafluoride</w:t>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8425"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8425"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w:t>
            </w:r>
          </w:p>
        </w:tc>
        <w:tc>
          <w:tcPr>
            <w:tcW w:w="8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 to purchase common stock of Centrus, exercised in December 2023 by Kulayba LLC and dated February 2, 2021 and amended December 29, 2022</w:t>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8425"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WNA</w:t>
            </w:r>
          </w:p>
        </w:tc>
        <w:tc>
          <w:tcPr>
            <w:tcW w:w="8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World Nuclear Association</w:t>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842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lineRule="auto" w:line="288" w:before="0" w:after="0"/>
        <w:ind w:left="0" w:right="0" w:firstLine="270"/>
        <w:jc w:val="center"/>
        <w:rPr>
          <w:rFonts w:ascii="Times New Roman;sans-serif" w:hAnsi="Times New Roman;sans-serif"/>
          <w:b/>
          <w:color w:val="000000"/>
          <w:sz w:val="22"/>
        </w:rPr>
      </w:pPr>
      <w:r>
        <w:rPr>
          <w:rFonts w:ascii="Times New Roman;sans-serif" w:hAnsi="Times New Roman;sans-serif"/>
          <w:b/>
          <w:color w:val="000000"/>
          <w:sz w:val="22"/>
        </w:rPr>
        <w:t>CAUTIONARY STATEMENTS REGARDING FORWARD-LOOKING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This Quarterly Report on Form 10-Q of Centrus (the “Company,” “we” or “us”) contains “forward-looking statements” within the meaning of Section 21E of the Exchange Act of 1934,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Quarterly Report on Form 10-Q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2"/>
        </w:rPr>
        <w:t xml:space="preserve">The factors that could cause actual results to differ materially from the forward-looking statements made by us include those factors discussed herein, including those factors discussed in (a) Part I, Item 1. </w:t>
      </w:r>
      <w:r>
        <w:rPr>
          <w:rFonts w:ascii="Times New Roman;sans-serif" w:hAnsi="Times New Roman;sans-serif"/>
          <w:b w:val="false"/>
          <w:i/>
          <w:color w:val="000000"/>
          <w:sz w:val="22"/>
        </w:rPr>
        <w:t>Financial Statements (Unaudited)</w:t>
      </w:r>
      <w:r>
        <w:rPr>
          <w:rFonts w:ascii="Times New Roman;sans-serif" w:hAnsi="Times New Roman;sans-serif"/>
          <w:b w:val="false"/>
          <w:color w:val="000000"/>
          <w:sz w:val="22"/>
        </w:rPr>
        <w:t xml:space="preserve">: Note 11, </w:t>
      </w:r>
      <w:r>
        <w:rPr>
          <w:rFonts w:ascii="Times New Roman;sans-serif" w:hAnsi="Times New Roman;sans-serif"/>
          <w:b w:val="false"/>
          <w:i/>
          <w:color w:val="000000"/>
          <w:sz w:val="22"/>
        </w:rPr>
        <w:t>Commitments and Contingencies</w:t>
      </w:r>
      <w:r>
        <w:rPr>
          <w:rFonts w:ascii="Times New Roman;sans-serif" w:hAnsi="Times New Roman;sans-serif"/>
          <w:b w:val="false"/>
          <w:color w:val="000000"/>
          <w:sz w:val="22"/>
        </w:rPr>
        <w:t xml:space="preserve">, (b) Part I, Item 2. </w:t>
      </w:r>
      <w:r>
        <w:rPr>
          <w:rFonts w:ascii="Times New Roman;sans-serif" w:hAnsi="Times New Roman;sans-serif"/>
          <w:b w:val="false"/>
          <w:i/>
          <w:color w:val="000000"/>
          <w:sz w:val="22"/>
        </w:rPr>
        <w:t>Management’s Discussion and Analysis of Financial Condition and Results of Operations,</w:t>
      </w:r>
      <w:r>
        <w:rPr>
          <w:color w:val="000000"/>
        </w:rPr>
        <w:t xml:space="preserve"> </w:t>
      </w:r>
      <w:r>
        <w:rPr>
          <w:rFonts w:ascii="Times New Roman;sans-serif" w:hAnsi="Times New Roman;sans-serif"/>
          <w:b w:val="false"/>
          <w:color w:val="000000"/>
          <w:sz w:val="22"/>
        </w:rPr>
        <w:t xml:space="preserve">(c) Part II,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 and (d) other factors discussed in the Company’s filings with the SEC. Readers are cautioned not to place undue reliance on these forward-looking statements, which apply only as of the date of this Report. The Company does not undertake any obligation to publicly release any revision to its forward-looking statements to reflect events or circumstances that may arise after the date of this Quarterly Report on Form 10-Q unless required by law.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Centrus, particular risks and uncertainties (hereinafter “risks”) that could cause our actual future results to differ materially from those expressed in our forward-looking statements and which are, and may be, exacerbated by any worsening of the global business and economic environment include but are not limited to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2"/>
        </w:rPr>
        <w:t>Risks related to the war in Ukraine</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war and geopolitical conflicts and the imposition of sanctions or other measures, including bans or tariffs, by (i) the U.S. or foreign governments and institutions such as the EU, (ii) organizations (including the United Nations or other international organizations), or (iii) entities (including private entities or persons), that could directly or indirectly impact our ability to obtain, deliver, transport or sell LEU or the SWU and natural uranium hexafluoride components of LEU delivered to us under the TENEX Supply Contract or make related payments or deliveries of natural uranium hexafluoride to TENEX;</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laws that ban (i) imports of Russian LEU into the United States, including the Import Ban Act, or (ii) transactions with Rosatom or its subsidiaries, which includes TENEX;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potential inability to secure additional waivers or other exceptions from the ban or sanction in a timely manner or at all in order to allow us to continue importing Russian LEU under the TENEX Supply Contract or otherwise doing business with TENEX or implementing the TENEX Supply Contract;</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TENEX’s refusal or inability to deliver LEU to us for any reason including, because (i) U.S. or foreign government sanctions or bans are imposed on LEU from Russia or on TENEX, (ii) TENEX is unable or unwilling to deliver LEU, receive payments, receive the return of natural uranium hexafluoride, or conduct other activities related to the TENEX Supply Contract, or (iii) TENEX elects, or is directed (including by its owner or the Russian government), to limit or stop transactions with us or with the United States or other countries;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disputes with third parties, including contractual counterparties, that could result if we cannot receive, or otherwise are unable to receive timely deliveries of LEU under the TENEX Supply Contract.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2"/>
        </w:rPr>
        <w:t>Risks related to economic and industry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dependence on others, such as TENEX, under the TENEX Supply Contract, Orano, under the Orano Supply Agreement, and other suppliers (including, but not limited to, transporters) who provide, or deliver, us the goods and services we need to conduct our business and any resulting negative impact on our liquidity;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ability to sell or deliver the LEU we procure pursuant to our purchase obligations under our supply agreements and the impacts of sanctions or limitations on imports of such LEU, including those imposed under the RSA, international trade legislation and other international trade restrictions or the Import Ban Act;</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increasing quantities of LEU being imported into the U.S. from China and the impact on our ability to make future LEU or SWU sales or ability to finance any buildout of our enrichment capacities;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whether or when government funding or demand for HALEU for government or commercial uses will materialize and at what level;</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regarding funding for continuation and deployment of the American Centrifuge technology;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(i) our ability to perform and absorb costs under the HALEU Operation Contract, (ii) our ability to obtain new contracts and funding to be able to continue operations and (iii) our ability to obtain and/or perform under other agreements;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that (i) we may not obtain the full benefit of the HALEU Operation Contract and may not be able or allowed to operate the HALEU enrichment facility to produce HALEU after the completion of the HALEU Operation Contract or (ii) the output from the HALEU enrichment facility may not be available to us as a future source of supply;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existing or new trade barriers and to contract terms that limit our ability to procure LEU for, or deliver LEU to, customers;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natural and other disasters, including the continued impact of the March 2011 earthquake and tsunami in Japan on the nuclear industry and on our business, results of operations and prospects;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financial difficulties experienced by customers or suppliers, including possible bankruptcies, insolvencies, or any other situation, event or occurrence that affect the ability of others to pay for our products or services in a timely manner or at all;</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pandemics, endemics, and other health crises;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impact and potential extended duration of a supply/demand imbalance in the market for LEU;</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pricing trends and demand in the uranium and enrichment markets and their impact on our profitability;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movement and timing of customer orders;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fact that we face significant competition from major LEU producers who may be less cost sensitive or are wholly or partially government owned;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that our ability to compete in foreign markets may be limited for various reasons, including policies that favor indigenous suppliers over foreign suppliers of goods and services;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fact that our revenue is largely dependent on our largest customers;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our backlog, including uncertainty concerning customer actions under current contracts and in future contracting due to market conditions, global events or other factors, including our lack of current production capability. </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color w:val="000000"/>
          <w:sz w:val="22"/>
        </w:rPr>
        <w:t>Risks related to operational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reliance on the only firm that has the necessary permits and capability to transport LEU from Russia to the United States and that firm’s ability to maintain those permits and capabilities or secure additional permits;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uncertainty regarding our ability to commercially deploy competitive enrichment technology;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potential for demobilization or termination of the HALEU Operation Contract;</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that we will not be able to timely complete the work that we are obligated to perform;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government’s inability to satisfy its obligations, including supplying government furnished equipment necessary for us to produce and deliver HALEU under the HALEU Operation Contract and processing security clearance applications due to a government shutdown or other reasons;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ability to obtain the government’s approval to extend the term of, or the scope of permitted activities under, our lease with the DOE in Piketon, Ohio;</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cybersecurity incidents that may impact our business operations;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our ability to perform fixed-price and cost-share contracts such as the HALEU Operation Contract, including the risk that costs that we must bear could be higher than expected and the risk related to complying with stringent government contractual requirements;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a government shutdown or lack of funding that could result in program cancellations, disruptions and/or stop work orders and could limit the U.S. government’s ability to make timely payments, and our ability to perform our U.S. government contracts and successfully compete for work;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changes to the U.S. government’s appropriated funding levels for HALEU Operation Contract due to the upcoming November elections or other reasons; and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attracting qualified employees necessary for the potential expansion of our operations.</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color w:val="000000"/>
          <w:sz w:val="22"/>
        </w:rPr>
        <w:t>Risks related to financial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long-term liabilities, including material unfunded defined benefit pension plan obligations and postretirement health and life benefit obligations;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8.25% Notes maturing in February 2027;</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of revenue and operating results fluctuating significantly from quarter to quarter, and in some cases, year to year;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impact of financial market conditions on our business, liquidity, prospects, pension assets and insurance facilities;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Company’s capital concentration;</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value of our intangible assets related to LEU’s backlog and customer relationships;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limited trading markets in our securities;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decisions made by our Class B Common Stock stockholders regarding their investment in the Company, including decisions based upon factors that are unrelated to the Company’s performance;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that a small number of holders of our Class A Common Stock (whose interests may not be aligned with other holders of our Class A Common Stock) may exert significant influence over the direction of the Company and may be motivated by interests that are not aligned with the Company’s other Class A stockholders;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(i) the use of our NOL carryforwards and NUBILs to offset future taxable income and the use of the Rights Agreement to prevent an “ownership change” as defined in Section 382 of the Internal Revenue Code and (ii) our ability to generate taxable income to utilize all or a portion of the NOLs prior to the expiration thereof and NUBILs;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failures or security breaches of our information technology systems.</w:t>
      </w:r>
    </w:p>
    <w:p>
      <w:pPr>
        <w:pStyle w:val="TextBody"/>
        <w:bidi w:val="0"/>
        <w:spacing w:before="0" w:after="60"/>
        <w:jc w:val="left"/>
        <w:rPr/>
      </w:pPr>
      <w:r>
        <w:rPr/>
      </w:r>
    </w:p>
    <w:p>
      <w:pPr>
        <w:pStyle w:val="TextBody"/>
        <w:bidi w:val="0"/>
        <w:spacing w:lineRule="auto" w:line="288" w:before="0" w:after="60"/>
        <w:jc w:val="left"/>
        <w:rPr/>
      </w:pPr>
      <w:r>
        <w:rPr>
          <w:rFonts w:ascii="Times New Roman;sans-serif" w:hAnsi="Times New Roman;sans-serif"/>
          <w:b/>
          <w:color w:val="000000"/>
          <w:sz w:val="22"/>
        </w:rPr>
        <w:t>Risks related to general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ability to attract and retain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actions, including reviews or audits, that may be taken by the U.S. government, the Russian government, or other governments that could affect our ability to perform under our contractual obligations or the ability of our sources of supply to perform under their contractual obligations to us;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ability to perform and receive timely payment under our agreements with the DOE or other government agencies, including risks related to the ongoing funding by the government and potential audits;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changes or termination of our agreements with the U.S. government or other counterparties, or the exercise of contract remedies by such counterparties;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competitive environment for our products and services;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changes in the nuclear energy industry;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competitive bidding process associated with obtaining contracts, including government contracts;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that we will be unable to obtain new business opportunities or achieve market acceptance of our products and services or that products or services provided by others will render our products or services obsolete or noncompetitive;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potential strategic transactions that could be difficult to implement, that could disrupt our business or that could change our business profile significantly.</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color w:val="000000"/>
          <w:sz w:val="22"/>
        </w:rPr>
        <w:t>Risks related to legal and compliance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outcome of legal proceedings and other contingencies (including lawsuits and government investigations or audits);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impact of government regulation and policies or interpretation of laws or regulations, including by the DOE, DOC and the NRC;</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of accidents during the transportation, handling, or processing of toxic hazardous or radioactive material that may pose a health risk to humans or animals, cause property or environmental damage, or result in precautionary evacuations, and lead to claims against the Company;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associated with claims and litigation arising from past activities at sites we currently operate or past activities at sites we no longer operate, including the Paducah GDP and Portsmouth GDP;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other risks discussed in this and our other filings with the SEC.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a more detailed discussion of these risks and others that could cause actual results to differ materially from those contained in our forward-looking statements, please see our Annual Report on Form 10-K for the year ended December 31, 2023. These factors may not constitute all factors that could cause actual results to differ from those discussed in any forward-looking statement. Accordingly, forward-looking statements should not be relied upon as a predictor of actual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CENTRUS ENERGY CORP.</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CONSOLIDATED BALANCE SHEETS</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(Unaudited; in millions, except share and per share data)</w:t>
      </w:r>
    </w:p>
    <w:tbl>
      <w:tblPr>
        <w:tblW w:w="10205" w:type="dxa"/>
        <w:jc w:val="left"/>
        <w:tblInd w:w="0" w:type="dxa"/>
        <w:tblLayout w:type="fixed"/>
        <w:tblCellMar>
          <w:top w:w="28" w:type="dxa"/>
          <w:left w:w="28" w:type="dxa"/>
          <w:bottom w:w="28" w:type="dxa"/>
          <w:right w:w="28" w:type="dxa"/>
        </w:tblCellMar>
      </w:tblPr>
      <w:tblGrid>
        <w:gridCol w:w="3132"/>
        <w:gridCol w:w="2385"/>
        <w:gridCol w:w="2355"/>
        <w:gridCol w:w="211"/>
        <w:gridCol w:w="616"/>
        <w:gridCol w:w="109"/>
        <w:gridCol w:w="109"/>
        <w:gridCol w:w="109"/>
        <w:gridCol w:w="109"/>
        <w:gridCol w:w="229"/>
        <w:gridCol w:w="670"/>
        <w:gridCol w:w="171"/>
      </w:tblGrid>
      <w:tr>
        <w:trPr/>
        <w:tc>
          <w:tcPr>
            <w:tcW w:w="3132"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8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w:t>
              <w:br/>
              <w:t>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w:t>
              <w:br/>
              <w:t> 2023</w:t>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costs associated with 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685.4 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net of accumulated depreciation of $4.7 million and $4.3 million as of June 30, 2024 and December 31, 2023,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Deposits for financial assurance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796.2 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Payables under inventory purchase agreements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 owed to customers and suppliers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and advances from customers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Short-term inventory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471.1 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Postretirement health and life benefit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Pension benefit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Advances from customers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inventory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(Note 11)</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par value $1.00 per share, 20,000,000 shares authorized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Series A Participating Cumulative Preferred Stock, none issued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Series B Senior Preferred Stock, none issued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Class A Common Stock, par value $0.10 per share, 70,000,000 shares authorized, 15,560,980 and 14,956,434 shares issued and outstanding as of June 30, 2024 and December 31, 2023,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Class B Common Stock, par value $0.10 per share, 30,000,000 shares authorized, 719,200 shares issued and outstanding as of June 30, 2024 and December 31, 2023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Excess of capital over par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deficit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Total stockholders’ equity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796.2 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CENTRUS ENERGY CORP.</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w:t>
      </w:r>
    </w:p>
    <w:p>
      <w:pPr>
        <w:pStyle w:val="TextBody"/>
        <w:bidi w:val="0"/>
        <w:spacing w:lineRule="auto" w:line="288" w:before="0" w:after="0"/>
        <w:jc w:val="left"/>
        <w:rPr/>
      </w:pPr>
      <w:r>
        <w:rPr>
          <w:rFonts w:ascii="Times New Roman;sans-serif" w:hAnsi="Times New Roman;sans-serif"/>
          <w:b/>
          <w:color w:val="000000"/>
          <w:sz w:val="20"/>
        </w:rPr>
        <w:t>(</w:t>
      </w:r>
      <w:r>
        <w:rPr>
          <w:rFonts w:ascii="Times New Roman;sans-serif" w:hAnsi="Times New Roman;sans-serif"/>
          <w:b/>
          <w:color w:val="000000"/>
          <w:sz w:val="19"/>
        </w:rPr>
        <w:t xml:space="preserve">Unaudited; </w:t>
      </w:r>
      <w:r>
        <w:rPr>
          <w:rFonts w:ascii="Times New Roman;sans-serif" w:hAnsi="Times New Roman;sans-serif"/>
          <w:b/>
          <w:color w:val="000000"/>
          <w:sz w:val="20"/>
        </w:rPr>
        <w:t>in millions, except share and per share data)</w:t>
      </w:r>
    </w:p>
    <w:p>
      <w:pPr>
        <w:pStyle w:val="TextBody"/>
        <w:bidi w:val="0"/>
        <w:spacing w:before="0" w:after="0"/>
        <w:jc w:val="center"/>
        <w:rPr/>
      </w:pPr>
      <w:r>
        <w:rPr/>
      </w:r>
    </w:p>
    <w:tbl>
      <w:tblPr>
        <w:tblW w:w="9915" w:type="dxa"/>
        <w:jc w:val="left"/>
        <w:tblInd w:w="0" w:type="dxa"/>
        <w:tblLayout w:type="fixed"/>
        <w:tblCellMar>
          <w:top w:w="28" w:type="dxa"/>
          <w:left w:w="28" w:type="dxa"/>
          <w:bottom w:w="28" w:type="dxa"/>
          <w:right w:w="28" w:type="dxa"/>
        </w:tblCellMar>
      </w:tblPr>
      <w:tblGrid>
        <w:gridCol w:w="1894"/>
        <w:gridCol w:w="1672"/>
        <w:gridCol w:w="1684"/>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w:t>
              <w:br/>
              <w:t> June 30,</w:t>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Separative work units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Uranium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Technical solutions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Separative work units and uranium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Technical solutions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 of sales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Advanced technology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Special charges for workforce reductions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Nonoperating components of net periodic benefit loss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income and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income per share: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Average number of common shares outstanding (in thousands):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Basic</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15,002</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Diluted</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15,306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CENTRUS ENERGY CORP.</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left"/>
        <w:rPr/>
      </w:pPr>
      <w:r>
        <w:rPr>
          <w:rFonts w:ascii="Times New Roman;sans-serif" w:hAnsi="Times New Roman;sans-serif"/>
          <w:b/>
          <w:color w:val="000000"/>
          <w:sz w:val="20"/>
        </w:rPr>
        <w:t>(</w:t>
      </w:r>
      <w:r>
        <w:rPr>
          <w:rFonts w:ascii="Times New Roman;sans-serif" w:hAnsi="Times New Roman;sans-serif"/>
          <w:b/>
          <w:color w:val="000000"/>
          <w:sz w:val="19"/>
        </w:rPr>
        <w:t xml:space="preserve">Unaudited; </w:t>
      </w:r>
      <w:r>
        <w:rPr>
          <w:rFonts w:ascii="Times New Roman;sans-serif" w:hAnsi="Times New Roman;sans-serif"/>
          <w:b/>
          <w:color w:val="000000"/>
          <w:sz w:val="20"/>
        </w:rPr>
        <w:t>in millions)</w:t>
      </w:r>
    </w:p>
    <w:tbl>
      <w:tblPr>
        <w:tblW w:w="8170" w:type="dxa"/>
        <w:jc w:val="left"/>
        <w:tblInd w:w="0" w:type="dxa"/>
        <w:tblLayout w:type="fixed"/>
        <w:tblCellMar>
          <w:top w:w="28" w:type="dxa"/>
          <w:left w:w="28" w:type="dxa"/>
          <w:bottom w:w="28" w:type="dxa"/>
          <w:right w:w="28" w:type="dxa"/>
        </w:tblCellMar>
      </w:tblPr>
      <w:tblGrid>
        <w:gridCol w:w="2137"/>
        <w:gridCol w:w="1876"/>
        <w:gridCol w:w="1882"/>
        <w:gridCol w:w="213"/>
        <w:gridCol w:w="605"/>
        <w:gridCol w:w="118"/>
        <w:gridCol w:w="118"/>
        <w:gridCol w:w="118"/>
        <w:gridCol w:w="118"/>
        <w:gridCol w:w="213"/>
        <w:gridCol w:w="605"/>
        <w:gridCol w:w="167"/>
      </w:tblGrid>
      <w:tr>
        <w:trPr/>
        <w:tc>
          <w:tcPr>
            <w:tcW w:w="213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cash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loss on long-term contract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remeasurement of retirement benefit plans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related compensation</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Revaluation of inventory borrowings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reconciling adjustments, net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owed to customers and suppliers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liabilities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under inventory purchase agreements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and advances from customers, net of deferred costs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benefit liabilities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changes, net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operating activities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INVESTING</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FINANCING</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issuance of common stock, net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withheld for tax obligations under stock-based compensation plan</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interest classified as debt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financing activities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cash, cash equivalents and restricted cash</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 (Note 3)</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 (Note 3)</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cash flow disclosures: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 of right to use lease assets from lease modification</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included in accounts payable and accrued liabilities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issuance costs included in accounts payable and accrued liabilities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withheld for tax obligations under stock-based compensation plan</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CENTRUS ENERGY CORP.</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p>
      <w:pPr>
        <w:pStyle w:val="TextBody"/>
        <w:bidi w:val="0"/>
        <w:spacing w:lineRule="auto" w:line="288" w:before="0" w:after="0"/>
        <w:jc w:val="left"/>
        <w:rPr/>
      </w:pPr>
      <w:r>
        <w:rPr>
          <w:rFonts w:ascii="Times New Roman;sans-serif" w:hAnsi="Times New Roman;sans-serif"/>
          <w:b/>
          <w:color w:val="000000"/>
          <w:sz w:val="20"/>
        </w:rPr>
        <w:t>(</w:t>
      </w:r>
      <w:r>
        <w:rPr>
          <w:rFonts w:ascii="Times New Roman;sans-serif" w:hAnsi="Times New Roman;sans-serif"/>
          <w:b/>
          <w:color w:val="000000"/>
          <w:sz w:val="19"/>
        </w:rPr>
        <w:t xml:space="preserve">Unaudited; </w:t>
      </w:r>
      <w:r>
        <w:rPr>
          <w:rFonts w:ascii="Times New Roman;sans-serif" w:hAnsi="Times New Roman;sans-serif"/>
          <w:b/>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835"/>
        <w:gridCol w:w="361"/>
        <w:gridCol w:w="362"/>
        <w:gridCol w:w="238"/>
        <w:gridCol w:w="494"/>
        <w:gridCol w:w="133"/>
        <w:gridCol w:w="109"/>
        <w:gridCol w:w="109"/>
        <w:gridCol w:w="109"/>
        <w:gridCol w:w="230"/>
        <w:gridCol w:w="460"/>
        <w:gridCol w:w="129"/>
        <w:gridCol w:w="109"/>
        <w:gridCol w:w="109"/>
        <w:gridCol w:w="109"/>
        <w:gridCol w:w="230"/>
        <w:gridCol w:w="460"/>
        <w:gridCol w:w="129"/>
        <w:gridCol w:w="109"/>
        <w:gridCol w:w="109"/>
        <w:gridCol w:w="109"/>
        <w:gridCol w:w="200"/>
        <w:gridCol w:w="584"/>
        <w:gridCol w:w="111"/>
        <w:gridCol w:w="109"/>
        <w:gridCol w:w="109"/>
        <w:gridCol w:w="109"/>
        <w:gridCol w:w="248"/>
        <w:gridCol w:w="723"/>
        <w:gridCol w:w="138"/>
        <w:gridCol w:w="109"/>
        <w:gridCol w:w="109"/>
        <w:gridCol w:w="109"/>
        <w:gridCol w:w="374"/>
        <w:gridCol w:w="748"/>
        <w:gridCol w:w="209"/>
        <w:gridCol w:w="109"/>
        <w:gridCol w:w="109"/>
        <w:gridCol w:w="109"/>
        <w:gridCol w:w="196"/>
        <w:gridCol w:w="487"/>
        <w:gridCol w:w="164"/>
      </w:tblGrid>
      <w:tr>
        <w:trPr/>
        <w:tc>
          <w:tcPr>
            <w:tcW w:w="83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br/>
              <w:t>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br/>
              <w:t>Par Value</w:t>
              <w:br/>
              <w:t>$0.10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B,</w:t>
              <w:br/>
              <w:t>Par Value</w:t>
              <w:br/>
              <w:t>$0.10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of</w:t>
              <w:br/>
              <w:t>Capital Over</w:t>
              <w:b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for the three months ended March 31, 2023</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shares withheld for employee taxes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180.5</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(226.7)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(44.5)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for the three months ended June 30, 2023</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shares withheld for employee taxes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179.8</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(214.0)</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w:t>
            </w:r>
            <w:r>
              <w:rPr>
                <w:color w:val="000000"/>
              </w:rPr>
              <w:t>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(32.5)</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39"/>
        <w:gridCol w:w="366"/>
        <w:gridCol w:w="368"/>
        <w:gridCol w:w="238"/>
        <w:gridCol w:w="495"/>
        <w:gridCol w:w="133"/>
        <w:gridCol w:w="109"/>
        <w:gridCol w:w="109"/>
        <w:gridCol w:w="109"/>
        <w:gridCol w:w="230"/>
        <w:gridCol w:w="462"/>
        <w:gridCol w:w="130"/>
        <w:gridCol w:w="109"/>
        <w:gridCol w:w="109"/>
        <w:gridCol w:w="109"/>
        <w:gridCol w:w="230"/>
        <w:gridCol w:w="462"/>
        <w:gridCol w:w="130"/>
        <w:gridCol w:w="109"/>
        <w:gridCol w:w="109"/>
        <w:gridCol w:w="109"/>
        <w:gridCol w:w="200"/>
        <w:gridCol w:w="585"/>
        <w:gridCol w:w="111"/>
        <w:gridCol w:w="109"/>
        <w:gridCol w:w="109"/>
        <w:gridCol w:w="109"/>
        <w:gridCol w:w="248"/>
        <w:gridCol w:w="724"/>
        <w:gridCol w:w="138"/>
        <w:gridCol w:w="109"/>
        <w:gridCol w:w="109"/>
        <w:gridCol w:w="109"/>
        <w:gridCol w:w="369"/>
        <w:gridCol w:w="737"/>
        <w:gridCol w:w="206"/>
        <w:gridCol w:w="109"/>
        <w:gridCol w:w="109"/>
        <w:gridCol w:w="109"/>
        <w:gridCol w:w="196"/>
        <w:gridCol w:w="481"/>
        <w:gridCol w:w="165"/>
      </w:tblGrid>
      <w:tr>
        <w:trPr/>
        <w:tc>
          <w:tcPr>
            <w:tcW w:w="83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b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br/>
              <w:t>Par Value</w:t>
              <w:br/>
              <w:t>$0.10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B,</w:t>
              <w:br/>
              <w:t>Par Value</w:t>
              <w:br/>
              <w:t>$0.10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of</w:t>
              <w:br/>
              <w:t>Capital Over</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loss for the three months ended March 31, 2024</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188.2</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(155.6)</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(0.4)</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33.8</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for the three months ended June 30, 2024</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shares withheld for employee taxes</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June 30, 2024</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200.3</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(125.0)</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(0.4)</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76.6</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CENTRUS ENERGY CORP.</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 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Basis of Presentation and Principles of Consolidation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unaudited Consolidated Financial Statements of Centrus (the “Company”), which include the accounts of the Company, its principal subsidiary, Enrichment Corp., and its other subsidiaries, as of June 30, 2024, and for the three and six months ended June 30, 2024, and 2023, have been prepared pursuant to the rules and regulations of the SEC. The unaudited Consolidated Balance Sheet as of December 31, 2023, was derived from audited Consolidated Financial Statements, but does not include all disclosures required by U.S. GAAP. In the opinion of management, the unaudited Consolidated Financial Statements reflect all adjustments, including normal recurring adjustments, necessary for a fair statement of the financial results for the interim period. Certain prior year amounts have been reclassified for consistency with the current year presentation. Certain information and notes normally included in financial statements prepared in accordance with U.S. GAAP have been omitted pursuant to such rules and regulations. All material intercompany transactions have been eliminated. The Company’s components of comprehensive income for the three and six months ended June 30, 2024 and 2023, are insignificant.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Operating results for the three and six months ended June 30, 2024, are not necessarily indicative of the results that may be expected for the year ending December 31, 2024. The unaudited Consolidated Financial Statements should be read in conjunction with the Consolidated Financial Statements included in the Annual Report on Form 10-K for the year ended December 31, 2023.</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Significant Accounting Policies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accounting policies of the Company are set forth in Note 1, </w:t>
      </w:r>
      <w:r>
        <w:rPr>
          <w:rFonts w:ascii="Times New Roman;sans-serif" w:hAnsi="Times New Roman;sans-serif"/>
          <w:b w:val="false"/>
          <w:i/>
          <w:color w:val="000000"/>
          <w:sz w:val="22"/>
        </w:rPr>
        <w:t>Summary of Significant Accounting Policies</w:t>
      </w:r>
      <w:r>
        <w:rPr>
          <w:rFonts w:ascii="Times New Roman;sans-serif" w:hAnsi="Times New Roman;sans-serif"/>
          <w:b w:val="false"/>
          <w:color w:val="000000"/>
          <w:sz w:val="22"/>
        </w:rPr>
        <w:t>, of the Consolidated Financial Statements in the Company’s Annual Report on Form 10-K for the year ended December 31, 2023. There has not been a material change to the Company’s accounting policies since that report.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Accounting Standards Effective in Future Periods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November 2023, the Financial Accounting Standards Board (“FASB”) issued Accounting Standards Update ("ASU") 2023-07, </w:t>
      </w:r>
      <w:r>
        <w:rPr>
          <w:rFonts w:ascii="Times New Roman;sans-serif" w:hAnsi="Times New Roman;sans-serif"/>
          <w:b w:val="false"/>
          <w:i/>
          <w:color w:val="000000"/>
          <w:sz w:val="22"/>
        </w:rPr>
        <w:t>Segment Reporting</w:t>
      </w:r>
      <w:r>
        <w:rPr>
          <w:rFonts w:ascii="Times New Roman;sans-serif" w:hAnsi="Times New Roman;sans-serif"/>
          <w:b w:val="false"/>
          <w:color w:val="000000"/>
          <w:sz w:val="22"/>
        </w:rPr>
        <w:t>, to improve reportable segment disclosure requirements, primarily through enhanced disclosures about significant segment expenses. This pronouncement is effective for fiscal years beginning after December 15, 2023, and interim periods within fiscal years beginning after December 15, 2024 and early adoption is permitted. The Company is evaluating the impact this will have on its Consolidated Financial Statements.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December 2023, the FASB issued ASU 2023-09, </w:t>
      </w:r>
      <w:r>
        <w:rPr>
          <w:rFonts w:ascii="Times New Roman;sans-serif" w:hAnsi="Times New Roman;sans-serif"/>
          <w:b w:val="false"/>
          <w:i/>
          <w:color w:val="000000"/>
          <w:sz w:val="22"/>
        </w:rPr>
        <w:t>Income Taxes</w:t>
      </w:r>
      <w:r>
        <w:rPr>
          <w:rFonts w:ascii="Times New Roman;sans-serif" w:hAnsi="Times New Roman;sans-serif"/>
          <w:b w:val="false"/>
          <w:color w:val="000000"/>
          <w:sz w:val="22"/>
        </w:rPr>
        <w:t>, to improve the transparency of income tax disclosures, primarily through requiring consistent categories and greater disaggregation in the rate reconciliation and requiring disaggregation of income taxes paid by jurisdiction. This pronouncement is effective for fiscal years beginning after December 15, 2024, and early adoption is permitted. Based on the Company’s review, it does not expect the pronouncement to have any material impact on its Notes to the Consolidated Financial Statements.</w:t>
      </w:r>
    </w:p>
    <w:p>
      <w:pPr>
        <w:pStyle w:val="TextBody"/>
        <w:bidi w:val="0"/>
        <w:spacing w:before="0" w:after="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2. REVENUE AND CONTRACTS WITH CUSTOMERS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Disaggregation of Revenue</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revenue from SWU and uranium sales disaggregated by geographical region based on the billing addresses of customers (in millions):</w:t>
      </w:r>
    </w:p>
    <w:p>
      <w:pPr>
        <w:pStyle w:val="TextBody"/>
        <w:bidi w:val="0"/>
        <w:spacing w:before="0" w:after="0"/>
        <w:ind w:left="0" w:right="0" w:firstLine="270"/>
        <w:jc w:val="left"/>
        <w:rPr/>
      </w:pPr>
      <w:r>
        <w:rPr/>
      </w:r>
    </w:p>
    <w:tbl>
      <w:tblPr>
        <w:tblW w:w="7937" w:type="dxa"/>
        <w:jc w:val="center"/>
        <w:tblInd w:w="0" w:type="dxa"/>
        <w:tblLayout w:type="fixed"/>
        <w:tblCellMar>
          <w:top w:w="28" w:type="dxa"/>
          <w:left w:w="28" w:type="dxa"/>
          <w:bottom w:w="28" w:type="dxa"/>
          <w:right w:w="28" w:type="dxa"/>
        </w:tblCellMar>
      </w:tblPr>
      <w:tblGrid>
        <w:gridCol w:w="930"/>
        <w:gridCol w:w="815"/>
        <w:gridCol w:w="819"/>
        <w:gridCol w:w="260"/>
        <w:gridCol w:w="780"/>
        <w:gridCol w:w="134"/>
        <w:gridCol w:w="134"/>
        <w:gridCol w:w="134"/>
        <w:gridCol w:w="134"/>
        <w:gridCol w:w="260"/>
        <w:gridCol w:w="650"/>
        <w:gridCol w:w="134"/>
        <w:gridCol w:w="109"/>
        <w:gridCol w:w="109"/>
        <w:gridCol w:w="109"/>
        <w:gridCol w:w="225"/>
        <w:gridCol w:w="674"/>
        <w:gridCol w:w="116"/>
        <w:gridCol w:w="116"/>
        <w:gridCol w:w="116"/>
        <w:gridCol w:w="116"/>
        <w:gridCol w:w="225"/>
        <w:gridCol w:w="674"/>
        <w:gridCol w:w="16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States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Foreign </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Revenue - SWU and uranium</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169.6</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87.6</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193.2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146.4</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Refer to Note 12</w:t>
      </w:r>
      <w:r>
        <w:rPr>
          <w:rFonts w:ascii="Times New Roman;sans-serif" w:hAnsi="Times New Roman;sans-serif"/>
          <w:b w:val="false"/>
          <w:i/>
          <w:color w:val="000000"/>
          <w:sz w:val="22"/>
        </w:rPr>
        <w:t>, Segment Information,</w:t>
      </w:r>
      <w:r>
        <w:rPr>
          <w:color w:val="000000"/>
        </w:rPr>
        <w:t xml:space="preserve"> </w:t>
      </w:r>
      <w:r>
        <w:rPr>
          <w:rFonts w:ascii="Times New Roman;sans-serif" w:hAnsi="Times New Roman;sans-serif"/>
          <w:b w:val="false"/>
          <w:color w:val="000000"/>
          <w:sz w:val="22"/>
        </w:rPr>
        <w:t>for disaggregation of revenue by segment. Revenue for the LEU segment is derived from the sales of the SWU component of LEU, from sales of both the SWU and uranium components, and from sales of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and U</w:t>
      </w:r>
      <w:r>
        <w:rPr>
          <w:rFonts w:ascii="Times New Roman;sans-serif" w:hAnsi="Times New Roman;sans-serif"/>
          <w:b w:val="false"/>
          <w:color w:val="000000"/>
          <w:sz w:val="14"/>
        </w:rPr>
        <w:t>3</w:t>
      </w:r>
      <w:r>
        <w:rPr>
          <w:rFonts w:ascii="Times New Roman;sans-serif" w:hAnsi="Times New Roman;sans-serif"/>
          <w:b w:val="false"/>
          <w:color w:val="000000"/>
          <w:sz w:val="22"/>
        </w:rPr>
        <w:t>O</w:t>
      </w:r>
      <w:r>
        <w:rPr>
          <w:rFonts w:ascii="Times New Roman;sans-serif" w:hAnsi="Times New Roman;sans-serif"/>
          <w:b w:val="false"/>
          <w:color w:val="000000"/>
          <w:sz w:val="14"/>
        </w:rPr>
        <w:t>8</w:t>
      </w:r>
      <w:r>
        <w:rPr>
          <w:rFonts w:ascii="Times New Roman;sans-serif" w:hAnsi="Times New Roman;sans-serif"/>
          <w:b w:val="false"/>
          <w:color w:val="000000"/>
          <w:sz w:val="22"/>
        </w:rPr>
        <w:t>, to electric utility customers and other nuclear fuel related companies. Technical Solutions’ revenue is derived from services provided to the U.S. government and its contractors. SWU and uranium revenue is recognized when the customer obtains control of the SWU or uranium components and Technical Solutions’ revenue is generally recognized over time based on direct costs incurred or the right to invoice method (in situations where the value transferred matches the Company’s billing rights) as the customer receives and consumes the benefits.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Accounts Receivable</w:t>
      </w:r>
    </w:p>
    <w:tbl>
      <w:tblPr>
        <w:tblW w:w="10205" w:type="dxa"/>
        <w:jc w:val="center"/>
        <w:tblInd w:w="0" w:type="dxa"/>
        <w:tblLayout w:type="fixed"/>
        <w:tblCellMar>
          <w:top w:w="28" w:type="dxa"/>
          <w:left w:w="28" w:type="dxa"/>
          <w:bottom w:w="28" w:type="dxa"/>
          <w:right w:w="28" w:type="dxa"/>
        </w:tblCellMar>
      </w:tblPr>
      <w:tblGrid>
        <w:gridCol w:w="1201"/>
        <w:gridCol w:w="1024"/>
        <w:gridCol w:w="1026"/>
        <w:gridCol w:w="233"/>
        <w:gridCol w:w="233"/>
        <w:gridCol w:w="233"/>
        <w:gridCol w:w="594"/>
        <w:gridCol w:w="1482"/>
        <w:gridCol w:w="306"/>
        <w:gridCol w:w="233"/>
        <w:gridCol w:w="233"/>
        <w:gridCol w:w="233"/>
        <w:gridCol w:w="749"/>
        <w:gridCol w:w="1868"/>
        <w:gridCol w:w="557"/>
      </w:tblGrid>
      <w:tr>
        <w:trPr/>
        <w:tc>
          <w:tcPr>
            <w:tcW w:w="120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 2024</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(in millions)</w:t>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Billed</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Unbilled *</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174" w:type="dxa"/>
            <w:gridSpan w:val="3"/>
            <w:tcBorders/>
            <w:vAlign w:val="center"/>
          </w:tcPr>
          <w:p>
            <w:pPr>
              <w:pStyle w:val="TableContents"/>
              <w:bidi w:val="0"/>
              <w:spacing w:before="0" w:after="283"/>
              <w:jc w:val="left"/>
              <w:rPr>
                <w:sz w:val="4"/>
                <w:szCs w:val="4"/>
              </w:rPr>
            </w:pPr>
            <w:r>
              <w:rPr>
                <w:sz w:val="4"/>
                <w:szCs w:val="4"/>
              </w:rPr>
            </w:r>
          </w:p>
        </w:tc>
      </w:tr>
      <w:tr>
        <w:trPr/>
        <w:tc>
          <w:tcPr>
            <w:tcW w:w="3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Accounts receivable</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34.5</w:t>
            </w: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49.4</w:t>
            </w:r>
            <w:r>
              <w:rPr>
                <w:color w:val="000000"/>
              </w:rPr>
              <w:t>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Billings under certain contracts in the Technical Solutions segment are invoiced based on approved provisional billing rates. Unbilled revenue represents the difference between actual costs incurred and invoiced amounts. The Company expects to invoice and collect the unbilled amounts after actual rates are submitted to the customer and approved. Unbilled revenue also includes unconditional rights to payment that are not yet billable under applicable contracts due to timing of invoice processing or pending the compilation of supporting documentation.</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Contract Liabilities</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changes in contract liability balances (in millions):</w:t>
      </w:r>
    </w:p>
    <w:tbl>
      <w:tblPr>
        <w:tblW w:w="8454" w:type="dxa"/>
        <w:jc w:val="center"/>
        <w:tblInd w:w="0" w:type="dxa"/>
        <w:tblLayout w:type="fixed"/>
        <w:tblCellMar>
          <w:top w:w="28" w:type="dxa"/>
          <w:left w:w="28" w:type="dxa"/>
          <w:bottom w:w="28" w:type="dxa"/>
          <w:right w:w="28" w:type="dxa"/>
        </w:tblCellMar>
      </w:tblPr>
      <w:tblGrid>
        <w:gridCol w:w="1169"/>
        <w:gridCol w:w="1025"/>
        <w:gridCol w:w="1030"/>
        <w:gridCol w:w="109"/>
        <w:gridCol w:w="109"/>
        <w:gridCol w:w="109"/>
        <w:gridCol w:w="211"/>
        <w:gridCol w:w="616"/>
        <w:gridCol w:w="109"/>
        <w:gridCol w:w="109"/>
        <w:gridCol w:w="109"/>
        <w:gridCol w:w="109"/>
        <w:gridCol w:w="293"/>
        <w:gridCol w:w="858"/>
        <w:gridCol w:w="153"/>
        <w:gridCol w:w="109"/>
        <w:gridCol w:w="109"/>
        <w:gridCol w:w="109"/>
        <w:gridCol w:w="474"/>
        <w:gridCol w:w="1185"/>
        <w:gridCol w:w="350"/>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 </w:t>
              <w:br/>
              <w:t>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w:t>
              <w:br/>
              <w:t>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Year-To-Date Change</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Advances from customers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Advances from customers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Previously deferred sales and advances from customers recognized in revenue totaled $64.7 million and $14.8 million in the six months ended June 30, 2024 and 2023, respectively.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LEU Segment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SWU component of LEU typically is sold under contracts with deliveries over several years. The Company’s agreements for natural uranium hexafluoride and uranium concentrate sales generally are shorter-term, fixed-commitment contracts. </w:t>
      </w:r>
      <w:r>
        <w:rPr>
          <w:rFonts w:ascii="Times New Roman;sans-serif" w:hAnsi="Times New Roman;sans-serif"/>
          <w:b w:val="false"/>
          <w:color w:val="0D0D0D"/>
          <w:sz w:val="22"/>
        </w:rPr>
        <w:t xml:space="preserve">Most of </w:t>
      </w:r>
      <w:r>
        <w:rPr>
          <w:rFonts w:ascii="Times New Roman;sans-serif" w:hAnsi="Times New Roman;sans-serif"/>
          <w:b w:val="false"/>
          <w:color w:val="000000"/>
          <w:sz w:val="22"/>
        </w:rPr>
        <w:t>the Company’s</w:t>
      </w:r>
      <w:r>
        <w:rPr>
          <w:color w:val="0D0D0D"/>
        </w:rPr>
        <w:t xml:space="preserve"> </w:t>
      </w:r>
      <w:r>
        <w:rPr>
          <w:rFonts w:ascii="Times New Roman;sans-serif" w:hAnsi="Times New Roman;sans-serif"/>
          <w:b w:val="false"/>
          <w:color w:val="0D0D0D"/>
          <w:sz w:val="22"/>
        </w:rPr>
        <w:t>customer contracts provide for fixed purchases of SWU during a given year. Depending on the terms of specific contracts, the customer may be able to increase or decrease the quantity delivered within an agreed range.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Technical Solutions Segment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Revenue for the Technical Solutions segment, representing the Company’s technical, manufacturing, engineering, procurement, construction, and operations services offered to public and private sector customers, is recognized over the contractual period as services are rendered.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Under the 2019 HALEU Demonstration Contract, the Company was engaged to construct a cascade of centrifuges to demonstrate production of HALEU for advanced reactors. The DOE agreed to reimburse the Company for 80% of its costs incurred in performing the contract. The DOE has funded the contract up to $173.0 million with a period of performance that ended November 30, 2022. The Company recorded revenue up to the funded amount of $173.0 million and received aggregate cash payments under the HALEU Demonstration Contract of $171.2 million through June 30, 2024. Closeout activities on the HALEU Demonstration Contract are ongoing.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DOE elected to move the operational portion of the HALEU Demonstration Contract to a subsequent, competitively awarded contract and, on November 10, 2022, the DOE awarded the HALEU Operation Contract to the Company, and work began on December 1, 2022. The base contract value is approximately $150 million with two phases through 2024. Phase 1 included an approximately $30 million cost-share contribution from Centrus matched by approximately $30 million from the DOE to complete construction of the cascade, begin operations and produce the initial 20 kilograms of HALEU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 xml:space="preserve">by no later than December 31, 2023. On October 11, 2023, the Company announced that it began enrichment operations in Piketon, Ohio. On November 7, 2023, the Company announced that it made its first delivery of HALEU to the DOE, completing Phase 1 by successfully demonstrating its HALEU production process.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Phase 2 of the HALEU Operation Contract includes production of 900 kilograms per year of HALEU UF</w:t>
      </w:r>
      <w:r>
        <w:rPr>
          <w:rFonts w:ascii="Times New Roman;sans-serif" w:hAnsi="Times New Roman;sans-serif"/>
          <w:b w:val="false"/>
          <w:color w:val="000000"/>
          <w:sz w:val="14"/>
        </w:rPr>
        <w:t>6</w:t>
      </w:r>
      <w:r>
        <w:rPr>
          <w:rFonts w:ascii="Times New Roman;sans-serif" w:hAnsi="Times New Roman;sans-serif"/>
          <w:b w:val="false"/>
          <w:color w:val="000000"/>
          <w:sz w:val="22"/>
        </w:rPr>
        <w:t xml:space="preserve">, as well as continued operations and maintenance. The DOE owns the HALEU produced from the demonstration cascade and Centrus is being compensated on a cost-plus-incentive-fee basis, with an expected Phase 2 contract value of approximately $90 million, subject to Congressional appropriations. The HALEU Operation Contract also gives DOE options to pay for up to nine additional years of production from the cascade beyond the base contract; those options are at the DOE’s sole discretion and subject to the availability of Congressional appropriations. Pursuant to an amendment to the Company’s lease for the Piketon facility, the DOE assumed all D&amp;D liabilities arising out of the HALEU Operation Contract.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Under the HALEU Operation Contract, DOE is obligated to provide the 5B Cylinders necessary to collect the output of the cascade, but supply chain challenges have created difficulties for DOE in securing enough 5B Cylinders for the entire production year. Using the 5B Cylinders currently made available by the DOE, Centrus has now achieved cumulative deliveries to the DOE of approximately 179 kilograms of HALEU UF</w:t>
      </w:r>
      <w:r>
        <w:rPr>
          <w:rFonts w:ascii="Times New Roman;sans-serif" w:hAnsi="Times New Roman;sans-serif"/>
          <w:b w:val="false"/>
          <w:color w:val="000000"/>
          <w:sz w:val="14"/>
        </w:rPr>
        <w:t>6</w:t>
      </w:r>
      <w:r>
        <w:rPr>
          <w:rFonts w:ascii="Times New Roman;sans-serif" w:hAnsi="Times New Roman;sans-serif"/>
          <w:b w:val="false"/>
          <w:color w:val="000000"/>
          <w:sz w:val="22"/>
        </w:rPr>
        <w:t>. Centrus’ delivery of the 900 kilograms of HALEU UF</w:t>
      </w:r>
      <w:r>
        <w:rPr>
          <w:rFonts w:ascii="Times New Roman;sans-serif" w:hAnsi="Times New Roman;sans-serif"/>
          <w:b w:val="false"/>
          <w:color w:val="000000"/>
          <w:sz w:val="14"/>
        </w:rPr>
        <w:t>6</w:t>
      </w:r>
      <w:r>
        <w:rPr>
          <w:rFonts w:ascii="Times New Roman;sans-serif" w:hAnsi="Times New Roman;sans-serif"/>
          <w:b w:val="false"/>
          <w:color w:val="000000"/>
          <w:sz w:val="22"/>
        </w:rPr>
        <w:t>, which it no longer can achieve by November 2024, was conditioned on the DOE’s ability to provide the 5B Cylinders on a timeline that allows for continuous production throughout Phase 2 of the contract. During time periods when 5B Cylinders are insufficient, the Company is able to continue operation of the cascade, but is not able to produce HALEU. The 9% target fee for Phase 2 of the contract was estimated to be $7.5 million based on the estimated costs for the contract and is subject to a contract minimum fee of $6.9 million.</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To support the DOE in mitigating the risk of further delays in delivery of 5B Cylinders, the Company received technical direction and a contract modification from the DOE to procure compliant 5B Cylinders and components. The contractual obligation to furnish compliant 5B Cylinders under the HALEU Operation Contract continues to rest with the DOE. In accordance with the HALEU Operation Contract, the Company has submitted several change order requests for work being performed on infrastructure, facility repairs, and 5B Cylinders. The additional work is being performed under the DOE’s technical direction or contract modifications. On September 28, 2023, the DOE modified the HALEU Operation Contract to incorporate additional scope, not subject to cost-share reimbursement, for infrastructure and facility repairs, and costs associated with 5B Cylinder refurbishment, for an estimated additional contract value of $5.8 million. The DOE is currently obligated for costs up to approximately $5.8 million for the additional scope under the HALEU Operation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Costs under the HALEU Operation Contract include program costs, including direct labor and materials and associated indirect costs that are classified as Cost of Sales, and an allocation of corporate costs supporting the program that are classified as</w:t>
      </w:r>
      <w:r>
        <w:rPr>
          <w:color w:val="000000"/>
        </w:rPr>
        <w:t xml:space="preserve"> </w:t>
      </w:r>
      <w:r>
        <w:rPr>
          <w:rFonts w:ascii="Times New Roman;sans-serif" w:hAnsi="Times New Roman;sans-serif"/>
          <w:b w:val="false"/>
          <w:i/>
          <w:color w:val="000000"/>
          <w:sz w:val="22"/>
        </w:rPr>
        <w:t>Selling, General and Administrative Expenses</w:t>
      </w:r>
      <w:r>
        <w:rPr>
          <w:rFonts w:ascii="Times New Roman;sans-serif" w:hAnsi="Times New Roman;sans-serif"/>
          <w:b w:val="false"/>
          <w:color w:val="000000"/>
          <w:sz w:val="22"/>
        </w:rPr>
        <w:t xml:space="preserve">. When estimates of program costs to be incurred for an integrated, construction-type contract exceed estimates of total revenue to be earned, a provision for the remaining loss on the contract is recorded to Cost of Sales in the period the loss is determined. The Company’s corporate costs supporting the program are recognized as expense as incurred over the duration of the contract term. The Company recorded an accrued loss of $21.3 million related to anticipated cost-share reimbursement under the HALEU Operation Contract in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 xml:space="preserve">in December 2022. The accrued loss on the contract was adjusted over the contract term based on actual results and remaining program cost projections through December 31, 2023. The impact to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in the three and six months ended June 30, 2023 was $5.8 million and $11.3 million, respectively, for previously accrued contract losses attributable to work performed in those periods. The HALEU Operation Contract is funded incrementally, and the DOE currently is obligated for costs up to approximately $89.1 million of the $125.9 million estimated transaction price for Phase 1, Phase 2, and additional scope work. The Company has received aggregate cash payments under the HALEU Operation Contract of $76.4 million through June 30,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does not have a contractual obligation to perform work in excess of the funding provided by the DOE. If the DOE does not commit to additional costs above the existing funding, the Company may incur material additional costs or losses in future periods that could have an adverse impact on its financial condition and liquidity.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Remaining Performance Obligations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remaining performance obligations represent the aggregate amount of total contract transaction price that is unsatisfied or partially unsatisfied. Performance obligations are recognized as revenue in future periods as work is performed or deliveries of SWU and uranium are made. The Company’s total remaining performance obligations were $0.9 billion and $1.0 billion as of June 30, 2024, and December 31, 2023, respectively, and extend to 2030.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remaining performance obligations in the LEU segment primarily related to medium and long-term contracts with fixed commitments, were approximately $0.8 billion and $1.0 billion for June 30, 2024, and December 31, 2023, respectively, and extend to 2030. The remaining performance obligations represent the estimated aggregate dollar amount of revenue for future SWU and uranium deliveries and includes approximately $257 million and $315 million of </w:t>
      </w:r>
      <w:r>
        <w:rPr>
          <w:rFonts w:ascii="Times New Roman;sans-serif" w:hAnsi="Times New Roman;sans-serif"/>
          <w:b w:val="false"/>
          <w:i/>
          <w:color w:val="000000"/>
          <w:sz w:val="22"/>
        </w:rPr>
        <w:t>Deferred Revenue and Advances from Customers</w:t>
      </w:r>
      <w:r>
        <w:rPr>
          <w:color w:val="000000"/>
        </w:rPr>
        <w:t xml:space="preserve"> </w:t>
      </w:r>
      <w:r>
        <w:rPr>
          <w:rFonts w:ascii="Times New Roman;sans-serif" w:hAnsi="Times New Roman;sans-serif"/>
          <w:b w:val="false"/>
          <w:color w:val="000000"/>
          <w:sz w:val="22"/>
        </w:rPr>
        <w:t>at June 30, 2024, and December 31, 2023, respectively</w:t>
      </w:r>
      <w:r>
        <w:rPr>
          <w:rFonts w:ascii="Times New Roman;sans-serif" w:hAnsi="Times New Roman;sans-serif"/>
          <w:b w:val="false"/>
          <w:i/>
          <w:color w:val="000000"/>
          <w:sz w:val="22"/>
        </w:rPr>
        <w:t xml:space="preserve">. </w:t>
      </w:r>
      <w:r>
        <w:rPr>
          <w:rFonts w:ascii="Times New Roman;sans-serif" w:hAnsi="Times New Roman;sans-serif"/>
          <w:b w:val="false"/>
          <w:color w:val="0D0D0D"/>
          <w:sz w:val="22"/>
        </w:rPr>
        <w:t>T</w:t>
      </w:r>
      <w:r>
        <w:rPr>
          <w:rFonts w:ascii="Times New Roman;sans-serif" w:hAnsi="Times New Roman;sans-serif"/>
          <w:b w:val="false"/>
          <w:color w:val="000000"/>
          <w:sz w:val="22"/>
        </w:rPr>
        <w:t>he</w:t>
      </w:r>
      <w:r>
        <w:rPr>
          <w:color w:val="0D0D0D"/>
        </w:rPr>
        <w:t xml:space="preserve"> </w:t>
      </w:r>
      <w:r>
        <w:rPr>
          <w:rFonts w:ascii="Times New Roman;sans-serif" w:hAnsi="Times New Roman;sans-serif"/>
          <w:b w:val="false"/>
          <w:color w:val="0D0D0D"/>
          <w:sz w:val="22"/>
        </w:rPr>
        <w:t>remaining performance obligations are partially based on customer estimates of the timing and size of their fuel requirements and other assumptions that are subject to change. T</w:t>
      </w:r>
      <w:r>
        <w:rPr>
          <w:rFonts w:ascii="Times New Roman;sans-serif" w:hAnsi="Times New Roman;sans-serif"/>
          <w:b w:val="false"/>
          <w:color w:val="000000"/>
          <w:sz w:val="22"/>
        </w:rPr>
        <w:t xml:space="preserve">he </w:t>
      </w:r>
      <w:r>
        <w:rPr>
          <w:rFonts w:ascii="Times New Roman;sans-serif" w:hAnsi="Times New Roman;sans-serif"/>
          <w:b w:val="false"/>
          <w:color w:val="0D0D0D"/>
          <w:sz w:val="22"/>
        </w:rPr>
        <w:t>remaining performance obligations include estimates of selling prices, which may be subject to change. Depending on the terms of specific contracts, prices may be adjusted based on escalation using a general inflation index, published SWU price indicators prevailing at the time of delivery, and other factors, all of which are variable. T</w:t>
      </w:r>
      <w:r>
        <w:rPr>
          <w:rFonts w:ascii="Times New Roman;sans-serif" w:hAnsi="Times New Roman;sans-serif"/>
          <w:b w:val="false"/>
          <w:color w:val="000000"/>
          <w:sz w:val="22"/>
        </w:rPr>
        <w:t>he Company</w:t>
      </w:r>
      <w:r>
        <w:rPr>
          <w:color w:val="0D0D0D"/>
        </w:rPr>
        <w:t xml:space="preserve"> </w:t>
      </w:r>
      <w:r>
        <w:rPr>
          <w:rFonts w:ascii="Times New Roman;sans-serif" w:hAnsi="Times New Roman;sans-serif"/>
          <w:b w:val="false"/>
          <w:color w:val="0D0D0D"/>
          <w:sz w:val="22"/>
        </w:rPr>
        <w:t>uses external composite forecasts of future market prices and inflation rates in its pricing estimates.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remaining performance obligations in the Technical Solutions segment were approximately $38.9 million and $77.0 million, as of June 30, 2024, and December 31, 2023, respectively, and extend to 2026. The remaining performance obligations in Technical Solutions include both funded (services for which funding has been both authorized and appropriated by the customer) and unfunded (services for which funding has not been appropriated) amounts. The Company does not include unexercised options or potential services under indefinite-delivery, indefinite-quantity agreements in its remaining performance obligations. If any of the Company’s contracts were to be terminated, its remaining performance obligations would be reduced by the expected value of the cancelled performance obligations of such contracts.</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3. CASH, CASH EQUIVALENTS AND RESTRICTED CASH</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Company’s cash, cash equivalents and restricted cash as presented on the Consolidated Balance Sheets to amounts on the Consolidated Statements of Cash Flows (in millions):</w:t>
      </w:r>
    </w:p>
    <w:tbl>
      <w:tblPr>
        <w:tblW w:w="7480" w:type="dxa"/>
        <w:jc w:val="center"/>
        <w:tblInd w:w="0" w:type="dxa"/>
        <w:tblLayout w:type="fixed"/>
        <w:tblCellMar>
          <w:top w:w="28" w:type="dxa"/>
          <w:left w:w="28" w:type="dxa"/>
          <w:bottom w:w="28" w:type="dxa"/>
          <w:right w:w="28" w:type="dxa"/>
        </w:tblCellMar>
      </w:tblPr>
      <w:tblGrid>
        <w:gridCol w:w="1488"/>
        <w:gridCol w:w="1307"/>
        <w:gridCol w:w="1314"/>
        <w:gridCol w:w="283"/>
        <w:gridCol w:w="846"/>
        <w:gridCol w:w="146"/>
        <w:gridCol w:w="109"/>
        <w:gridCol w:w="109"/>
        <w:gridCol w:w="109"/>
        <w:gridCol w:w="374"/>
        <w:gridCol w:w="1121"/>
        <w:gridCol w:w="27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227.0 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Deposits for financial assurance - current (a)</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Deposits for financial assurance - noncurrent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cash, cash equivalents and restricted cash</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259.6</w:t>
            </w: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233.8</w:t>
            </w:r>
            <w:r>
              <w:rPr>
                <w:color w:val="000000"/>
              </w:rPr>
              <w:t>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 Deposits for financial assurance - current is included within </w:t>
      </w:r>
      <w:r>
        <w:rPr>
          <w:rFonts w:ascii="Times New Roman;sans-serif" w:hAnsi="Times New Roman;sans-serif"/>
          <w:b w:val="false"/>
          <w:i/>
          <w:color w:val="000000"/>
          <w:sz w:val="20"/>
        </w:rPr>
        <w:t>Other Current Assets</w:t>
      </w:r>
      <w:r>
        <w:rPr>
          <w:color w:val="000000"/>
        </w:rPr>
        <w:t xml:space="preserve"> </w:t>
      </w:r>
      <w:r>
        <w:rPr>
          <w:rFonts w:ascii="Times New Roman;sans-serif" w:hAnsi="Times New Roman;sans-serif"/>
          <w:b w:val="false"/>
          <w:color w:val="000000"/>
          <w:sz w:val="20"/>
        </w:rPr>
        <w:t>in the Consolidated Balance Sheets.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has $0.4 million and $6.8 million denominated in euros as of June 30, 2024 and December 31, 2023, respectively, and recorded $0 and $0.1 million in transaction losses in the three and six months ended June 30, 2024, respectively and $0 in both the three and six months ended June 30, 2023.</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additional detail regarding the Company’s deposits for financial assurance (in millions):</w:t>
      </w:r>
    </w:p>
    <w:tbl>
      <w:tblPr>
        <w:tblW w:w="8130" w:type="dxa"/>
        <w:jc w:val="left"/>
        <w:tblInd w:w="0" w:type="dxa"/>
        <w:tblLayout w:type="fixed"/>
        <w:tblCellMar>
          <w:top w:w="28" w:type="dxa"/>
          <w:left w:w="28" w:type="dxa"/>
          <w:bottom w:w="28" w:type="dxa"/>
          <w:right w:w="28" w:type="dxa"/>
        </w:tblCellMar>
      </w:tblPr>
      <w:tblGrid>
        <w:gridCol w:w="1189"/>
        <w:gridCol w:w="1044"/>
        <w:gridCol w:w="1052"/>
        <w:gridCol w:w="211"/>
        <w:gridCol w:w="526"/>
        <w:gridCol w:w="109"/>
        <w:gridCol w:w="109"/>
        <w:gridCol w:w="109"/>
        <w:gridCol w:w="109"/>
        <w:gridCol w:w="312"/>
        <w:gridCol w:w="622"/>
        <w:gridCol w:w="162"/>
        <w:gridCol w:w="109"/>
        <w:gridCol w:w="109"/>
        <w:gridCol w:w="109"/>
        <w:gridCol w:w="222"/>
        <w:gridCol w:w="443"/>
        <w:gridCol w:w="116"/>
        <w:gridCol w:w="109"/>
        <w:gridCol w:w="109"/>
        <w:gridCol w:w="109"/>
        <w:gridCol w:w="270"/>
        <w:gridCol w:w="673"/>
        <w:gridCol w:w="198"/>
      </w:tblGrid>
      <w:tr>
        <w:trPr/>
        <w:tc>
          <w:tcPr>
            <w:tcW w:w="11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Long-Term</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Collateral for Inventory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Workers Compensation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deposits for financial assurance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2.6</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0.2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32.4</w:t>
            </w: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 March, May, and October 2022, the Company entered into three inventory loans that each required a cash deposit into an escrow fund, see Note 4</w:t>
      </w:r>
      <w:r>
        <w:rPr>
          <w:rFonts w:ascii="Times New Roman;sans-serif" w:hAnsi="Times New Roman;sans-serif"/>
          <w:b w:val="false"/>
          <w:i/>
          <w:color w:val="000000"/>
          <w:sz w:val="22"/>
        </w:rPr>
        <w:t xml:space="preserve">, Inventories. </w:t>
      </w:r>
      <w:r>
        <w:rPr>
          <w:rFonts w:ascii="Times New Roman;sans-serif" w:hAnsi="Times New Roman;sans-serif"/>
          <w:b w:val="false"/>
          <w:color w:val="000000"/>
          <w:sz w:val="22"/>
        </w:rPr>
        <w:t xml:space="preserve">The Company has provided financial assurance to states in which it was previously self-insured for workers’ compensation in accordance with each state’s requirements in the form of a surety bond or deposit that is fully cash collateralized by the Company. Each surety bond or deposit is subject to reduction and/or cancellation, as each state determines the likely reduction of workers’ compensation obligations pertaining to the period of self-insurance.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4. INVENTORIES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holds uranium at licensed locations (e.g., fabricators) in the form of natural uranium hexafluoride and as the uranium component of LEU in transit to meet book transfer requests by customers and suppliers. Centrus also holds SWU as the SWU component of LEU at licensed locations or in transit to meet book transfer requests by customers and suppliers. Fabricators process LEU into fuel for use in nuclear reactors. Components of inventories are as follows (in millions):</w:t>
      </w:r>
    </w:p>
    <w:p>
      <w:pPr>
        <w:pStyle w:val="TextBody"/>
        <w:bidi w:val="0"/>
        <w:spacing w:before="0" w:after="0"/>
        <w:ind w:left="0" w:right="0" w:firstLine="270"/>
        <w:jc w:val="left"/>
        <w:rPr/>
      </w:pPr>
      <w:r>
        <w:rPr/>
      </w:r>
    </w:p>
    <w:tbl>
      <w:tblPr>
        <w:tblW w:w="10205" w:type="dxa"/>
        <w:jc w:val="center"/>
        <w:tblInd w:w="0" w:type="dxa"/>
        <w:tblLayout w:type="fixed"/>
        <w:tblCellMar>
          <w:top w:w="28" w:type="dxa"/>
          <w:left w:w="28" w:type="dxa"/>
          <w:bottom w:w="28" w:type="dxa"/>
          <w:right w:w="28" w:type="dxa"/>
        </w:tblCellMar>
      </w:tblPr>
      <w:tblGrid>
        <w:gridCol w:w="652"/>
        <w:gridCol w:w="574"/>
        <w:gridCol w:w="576"/>
        <w:gridCol w:w="211"/>
        <w:gridCol w:w="631"/>
        <w:gridCol w:w="109"/>
        <w:gridCol w:w="109"/>
        <w:gridCol w:w="109"/>
        <w:gridCol w:w="109"/>
        <w:gridCol w:w="288"/>
        <w:gridCol w:w="577"/>
        <w:gridCol w:w="150"/>
        <w:gridCol w:w="109"/>
        <w:gridCol w:w="109"/>
        <w:gridCol w:w="109"/>
        <w:gridCol w:w="313"/>
        <w:gridCol w:w="937"/>
        <w:gridCol w:w="163"/>
        <w:gridCol w:w="109"/>
        <w:gridCol w:w="109"/>
        <w:gridCol w:w="109"/>
        <w:gridCol w:w="211"/>
        <w:gridCol w:w="631"/>
        <w:gridCol w:w="109"/>
        <w:gridCol w:w="109"/>
        <w:gridCol w:w="109"/>
        <w:gridCol w:w="109"/>
        <w:gridCol w:w="243"/>
        <w:gridCol w:w="606"/>
        <w:gridCol w:w="127"/>
        <w:gridCol w:w="109"/>
        <w:gridCol w:w="109"/>
        <w:gridCol w:w="109"/>
        <w:gridCol w:w="307"/>
        <w:gridCol w:w="923"/>
        <w:gridCol w:w="232"/>
      </w:tblGrid>
      <w:tr>
        <w:trPr/>
        <w:tc>
          <w:tcPr>
            <w:tcW w:w="6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br/>
              <w:t xml:space="preserve">Liabilities </w:t>
              <w:b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Inventories,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br/>
              <w:t>Liabilities</w:t>
              <w:b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Inventories, Net</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Separative work units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Uranium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195.3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1.1</w:t>
            </w: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194.2</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306.4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84.3</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222.1</w:t>
            </w:r>
            <w:r>
              <w:rPr>
                <w:color w:val="000000"/>
              </w:rPr>
              <w:t>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(a)This includes inventories owed to suppliers for advances of uranium. </w:t>
      </w:r>
    </w:p>
    <w:p>
      <w:pPr>
        <w:pStyle w:val="TextBody"/>
        <w:bidi w:val="0"/>
        <w:spacing w:before="0" w:after="6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Inventories are valued at the lower of cost or net realizable value.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Company may borrow SWU or uranium from customers or suppliers, in which case the Company will record the SWU and/or uranium and the related liability for the borrowing using a projected and forecasted purchase price over the borrowing period. In March 2023, the Company borrowed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 xml:space="preserve">which was recorded to inventory at a value of $22.5 million, based on the estimated fair market value of the inventory on the date of borrowing.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Company performs quarterly revaluations of </w:t>
      </w:r>
      <w:r>
        <w:rPr>
          <w:rFonts w:ascii="Times New Roman;sans-serif" w:hAnsi="Times New Roman;sans-serif"/>
          <w:b w:val="false"/>
          <w:i/>
          <w:color w:val="000000"/>
          <w:sz w:val="22"/>
        </w:rPr>
        <w:t xml:space="preserve">Long-Term Inventory Loans </w:t>
      </w:r>
      <w:r>
        <w:rPr>
          <w:rFonts w:ascii="Times New Roman;sans-serif" w:hAnsi="Times New Roman;sans-serif"/>
          <w:b w:val="false"/>
          <w:color w:val="000000"/>
          <w:sz w:val="22"/>
        </w:rPr>
        <w:t xml:space="preserve">reflecting an updated projection of the timing and sources of inventory to be used for repayment. These revaluations were recorded to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 xml:space="preserve">and resulted in an increase to the related liability of $1.5 million and $1.8 million, for the three and six months ended June 30, 2024, respectively, and $0.8 million and $2.9 million for the three and six months ended June 30, 2023, respectively.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5. INTANGIBLE ASSETS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 originated from the Company’s reorganization and application of fresh start accounting as of the date the Company emerged from bankruptcy, September 30, 2014, and reflect the conditions at that time. The intangible asset related to the LEU segment backlog is amortized as the backlog, existing at emergence, is reduced, as a result of deliveries to customers. The intangible asset related to customer relationships is amortized using the straight-line method over the estimated average useful life of 15 years. Amortization expense is presented below gross profit on the Consolidated Statements of Operations and Comprehensive Income. Intangible asset balances are as follows (in millions):</w:t>
      </w:r>
    </w:p>
    <w:tbl>
      <w:tblPr>
        <w:tblW w:w="10205" w:type="dxa"/>
        <w:jc w:val="center"/>
        <w:tblInd w:w="0" w:type="dxa"/>
        <w:tblLayout w:type="fixed"/>
        <w:tblCellMar>
          <w:top w:w="28" w:type="dxa"/>
          <w:left w:w="28" w:type="dxa"/>
          <w:bottom w:w="28" w:type="dxa"/>
          <w:right w:w="28" w:type="dxa"/>
        </w:tblCellMar>
      </w:tblPr>
      <w:tblGrid>
        <w:gridCol w:w="486"/>
        <w:gridCol w:w="426"/>
        <w:gridCol w:w="430"/>
        <w:gridCol w:w="266"/>
        <w:gridCol w:w="798"/>
        <w:gridCol w:w="137"/>
        <w:gridCol w:w="109"/>
        <w:gridCol w:w="109"/>
        <w:gridCol w:w="109"/>
        <w:gridCol w:w="369"/>
        <w:gridCol w:w="923"/>
        <w:gridCol w:w="193"/>
        <w:gridCol w:w="109"/>
        <w:gridCol w:w="109"/>
        <w:gridCol w:w="109"/>
        <w:gridCol w:w="224"/>
        <w:gridCol w:w="560"/>
        <w:gridCol w:w="116"/>
        <w:gridCol w:w="109"/>
        <w:gridCol w:w="109"/>
        <w:gridCol w:w="109"/>
        <w:gridCol w:w="266"/>
        <w:gridCol w:w="798"/>
        <w:gridCol w:w="137"/>
        <w:gridCol w:w="109"/>
        <w:gridCol w:w="109"/>
        <w:gridCol w:w="109"/>
        <w:gridCol w:w="369"/>
        <w:gridCol w:w="923"/>
        <w:gridCol w:w="193"/>
        <w:gridCol w:w="109"/>
        <w:gridCol w:w="109"/>
        <w:gridCol w:w="109"/>
        <w:gridCol w:w="223"/>
        <w:gridCol w:w="558"/>
        <w:gridCol w:w="175"/>
      </w:tblGrid>
      <w:tr>
        <w:trPr/>
        <w:tc>
          <w:tcPr>
            <w:tcW w:w="4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Net Amount</w:t>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Backlog</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Customer relationships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123.5</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88.9</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34.6</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123.5</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84.1</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39.4</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6. DEBT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debt is as follows (in millions):</w:t>
      </w:r>
    </w:p>
    <w:tbl>
      <w:tblPr>
        <w:tblW w:w="7266" w:type="dxa"/>
        <w:jc w:val="center"/>
        <w:tblInd w:w="0" w:type="dxa"/>
        <w:tblLayout w:type="fixed"/>
        <w:tblCellMar>
          <w:top w:w="28" w:type="dxa"/>
          <w:left w:w="28" w:type="dxa"/>
          <w:bottom w:w="28" w:type="dxa"/>
          <w:right w:w="28" w:type="dxa"/>
        </w:tblCellMar>
      </w:tblPr>
      <w:tblGrid>
        <w:gridCol w:w="451"/>
        <w:gridCol w:w="396"/>
        <w:gridCol w:w="398"/>
        <w:gridCol w:w="304"/>
        <w:gridCol w:w="304"/>
        <w:gridCol w:w="306"/>
        <w:gridCol w:w="109"/>
        <w:gridCol w:w="109"/>
        <w:gridCol w:w="109"/>
        <w:gridCol w:w="222"/>
        <w:gridCol w:w="443"/>
        <w:gridCol w:w="116"/>
        <w:gridCol w:w="109"/>
        <w:gridCol w:w="109"/>
        <w:gridCol w:w="109"/>
        <w:gridCol w:w="273"/>
        <w:gridCol w:w="681"/>
        <w:gridCol w:w="142"/>
        <w:gridCol w:w="109"/>
        <w:gridCol w:w="109"/>
        <w:gridCol w:w="109"/>
        <w:gridCol w:w="222"/>
        <w:gridCol w:w="443"/>
        <w:gridCol w:w="116"/>
        <w:gridCol w:w="109"/>
        <w:gridCol w:w="109"/>
        <w:gridCol w:w="109"/>
        <w:gridCol w:w="270"/>
        <w:gridCol w:w="673"/>
        <w:gridCol w:w="198"/>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Long-Term</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8.25% Notes:</w:t>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Feb.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w:t>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9"/>
              </w:rPr>
              <w:t>Total</w:t>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6.1</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86.5</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6.1</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89.6</w:t>
            </w: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Interest on the Company’s 8.25% Notes is payable semi-annually in arrears as of February 28 and August 31 based on a 360-day year consisting of twelve 30-day months. The 8.25% Notes were issued in connection with a troubled debt restructuring; therefore, all future interest payment obligations on the 8.25% Notes are included in the carrying value of the 8.25% Notes. As a result, interest payments are reported as a reduction in the carrying value of the 8.25% Notes and not as interest expense. As of June 30, 2024, and December 31, 2023, $6.1 million of interest was recorded as current and classified as </w:t>
      </w:r>
      <w:r>
        <w:rPr>
          <w:rFonts w:ascii="Times New Roman;sans-serif" w:hAnsi="Times New Roman;sans-serif"/>
          <w:b w:val="false"/>
          <w:i/>
          <w:color w:val="000000"/>
          <w:sz w:val="22"/>
        </w:rPr>
        <w:t xml:space="preserve">Current Debt </w:t>
      </w:r>
      <w:r>
        <w:rPr>
          <w:rFonts w:ascii="Times New Roman;sans-serif" w:hAnsi="Times New Roman;sans-serif"/>
          <w:b w:val="false"/>
          <w:color w:val="000000"/>
          <w:sz w:val="22"/>
        </w:rPr>
        <w:t xml:space="preserve">in the Consolidated Balance Sheets.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7. FAIR VALUE</w:t>
      </w:r>
    </w:p>
    <w:p>
      <w:pPr>
        <w:pStyle w:val="TextBody"/>
        <w:bidi w:val="0"/>
        <w:spacing w:before="0" w:after="0"/>
        <w:jc w:val="left"/>
        <w:rPr/>
      </w:pPr>
      <w:r>
        <w:rPr/>
      </w:r>
    </w:p>
    <w:p>
      <w:pPr>
        <w:pStyle w:val="TextBody"/>
        <w:bidi w:val="0"/>
        <w:spacing w:lineRule="auto" w:line="288" w:before="0" w:after="12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Fair value is the price that would be received from selling an asset or paid to transfer a liability in an orderly transaction between market participants at the measurement date. When determining the fair value of assets and liabilities, the following hierarchy is used in selecting inputs, with the highest priority given to Level 1, as these are the most transparent or reliable: </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2"/>
        </w:rPr>
        <w:t>Level 1 assets include investments with quoted prices in active markets that the Company has the ability to liquidate as of the reporting date.</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2"/>
        </w:rPr>
        <w:t>Level 2 assets include investments in U.S. government agency securities, corporate and municipal debt whose estimates are valued based on observable inputs, other than quoted prices.</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2"/>
        </w:rPr>
        <w:t xml:space="preserve">Level 3 assets include investments with unobservable inputs, such as third-party valuations, due to little or no market activity. </w:t>
      </w:r>
    </w:p>
    <w:p>
      <w:pPr>
        <w:pStyle w:val="TextBody"/>
        <w:bidi w:val="0"/>
        <w:spacing w:before="0" w:after="0"/>
        <w:ind w:left="0" w:right="0" w:firstLine="9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2"/>
        </w:rPr>
      </w:pPr>
      <w:r>
        <w:rPr>
          <w:rFonts w:ascii="Times New Roman;sans-serif" w:hAnsi="Times New Roman;sans-serif"/>
          <w:b w:val="false"/>
          <w:i/>
          <w:color w:val="000000"/>
          <w:sz w:val="22"/>
        </w:rPr>
        <w:t>Financial Instruments Recorded at Fair Value (in millions):</w:t>
      </w:r>
    </w:p>
    <w:tbl>
      <w:tblPr>
        <w:tblW w:w="10273" w:type="dxa"/>
        <w:jc w:val="left"/>
        <w:tblInd w:w="0" w:type="dxa"/>
        <w:tblLayout w:type="fixed"/>
        <w:tblCellMar>
          <w:top w:w="28" w:type="dxa"/>
          <w:left w:w="28" w:type="dxa"/>
          <w:bottom w:w="28" w:type="dxa"/>
          <w:right w:w="28" w:type="dxa"/>
        </w:tblCellMar>
      </w:tblPr>
      <w:tblGrid>
        <w:gridCol w:w="580"/>
        <w:gridCol w:w="339"/>
        <w:gridCol w:w="342"/>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31"/>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31"/>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227.0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201.2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compensation asset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compensation obligation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The deferred compensation obligation represents the balance of deferred compensation plus net investment earnings. The deferred compensation plan is funded through a rabbi trust. Trust funds are invested in mutual funds for which unit prices are quoted in active markets and are classified within Level 1 of the valuation hierarchy.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were no transfers between Level 1, 2 or 3 during the periods presented.</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Other Financial Instruments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As of June 30, 2024, and December 31, 2023, the Consolidated Balance Sheets carrying amounts for </w:t>
      </w:r>
      <w:r>
        <w:rPr>
          <w:rFonts w:ascii="Times New Roman;sans-serif" w:hAnsi="Times New Roman;sans-serif"/>
          <w:b w:val="false"/>
          <w:i/>
          <w:color w:val="000000"/>
          <w:sz w:val="22"/>
        </w:rPr>
        <w:t>Accounts Receivable</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Accounts Payable and Accrued Liabilities</w:t>
      </w:r>
      <w:r>
        <w:rPr>
          <w:color w:val="000000"/>
        </w:rPr>
        <w:t xml:space="preserve"> </w:t>
      </w:r>
      <w:r>
        <w:rPr>
          <w:rFonts w:ascii="Times New Roman;sans-serif" w:hAnsi="Times New Roman;sans-serif"/>
          <w:b w:val="false"/>
          <w:color w:val="000000"/>
          <w:sz w:val="22"/>
        </w:rPr>
        <w:t xml:space="preserve">(excluding the deferred compensation obligation described above), and </w:t>
      </w:r>
      <w:r>
        <w:rPr>
          <w:rFonts w:ascii="Times New Roman;sans-serif" w:hAnsi="Times New Roman;sans-serif"/>
          <w:b w:val="false"/>
          <w:i/>
          <w:color w:val="000000"/>
          <w:sz w:val="22"/>
        </w:rPr>
        <w:t>Payables under Inventory Purchase Agreements</w:t>
      </w:r>
      <w:r>
        <w:rPr>
          <w:color w:val="000000"/>
        </w:rPr>
        <w:t xml:space="preserve"> </w:t>
      </w:r>
      <w:r>
        <w:rPr>
          <w:rFonts w:ascii="Times New Roman;sans-serif" w:hAnsi="Times New Roman;sans-serif"/>
          <w:b w:val="false"/>
          <w:color w:val="000000"/>
          <w:sz w:val="22"/>
        </w:rPr>
        <w:t>approximate fair value because of their short-term nature.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carrying value and estimated fair value of long-term debt were as follows (in millions):</w:t>
      </w:r>
    </w:p>
    <w:tbl>
      <w:tblPr>
        <w:tblW w:w="9289" w:type="dxa"/>
        <w:jc w:val="center"/>
        <w:tblInd w:w="0" w:type="dxa"/>
        <w:tblLayout w:type="fixed"/>
        <w:tblCellMar>
          <w:top w:w="28" w:type="dxa"/>
          <w:left w:w="28" w:type="dxa"/>
          <w:bottom w:w="28" w:type="dxa"/>
          <w:right w:w="28" w:type="dxa"/>
        </w:tblCellMar>
      </w:tblPr>
      <w:tblGrid>
        <w:gridCol w:w="418"/>
        <w:gridCol w:w="366"/>
        <w:gridCol w:w="370"/>
        <w:gridCol w:w="364"/>
        <w:gridCol w:w="886"/>
        <w:gridCol w:w="190"/>
        <w:gridCol w:w="109"/>
        <w:gridCol w:w="109"/>
        <w:gridCol w:w="109"/>
        <w:gridCol w:w="537"/>
        <w:gridCol w:w="1299"/>
        <w:gridCol w:w="279"/>
        <w:gridCol w:w="109"/>
        <w:gridCol w:w="109"/>
        <w:gridCol w:w="109"/>
        <w:gridCol w:w="364"/>
        <w:gridCol w:w="886"/>
        <w:gridCol w:w="190"/>
        <w:gridCol w:w="109"/>
        <w:gridCol w:w="109"/>
        <w:gridCol w:w="109"/>
        <w:gridCol w:w="519"/>
        <w:gridCol w:w="1258"/>
        <w:gridCol w:w="382"/>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9"/>
              </w:rPr>
              <w:t xml:space="preserve">Estimated Fair Value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9"/>
              </w:rPr>
              <w:t xml:space="preserve">Estimated Fair Value </w:t>
            </w:r>
            <w:r>
              <w:rPr>
                <w:rFonts w:ascii="Times New Roman;sans-serif" w:hAnsi="Times New Roman;sans-serif"/>
                <w:b/>
                <w:color w:val="000000"/>
                <w:sz w:val="12"/>
              </w:rPr>
              <w:t>(a)</w:t>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8.25% Notes</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(b)</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(b)</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71.7 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Based on bid/ask quotes as of or near the balance sheet date, which are considered Level 2 inputs.</w:t>
      </w:r>
    </w:p>
    <w:p>
      <w:pPr>
        <w:pStyle w:val="TextBody"/>
        <w:bidi w:val="0"/>
        <w:spacing w:lineRule="auto" w:line="288" w:before="120" w:after="283"/>
        <w:ind w:left="0" w:right="0" w:hanging="180"/>
        <w:jc w:val="left"/>
        <w:rPr/>
      </w:pPr>
      <w:r>
        <w:rPr>
          <w:rFonts w:ascii="Times New Roman;sans-serif" w:hAnsi="Times New Roman;sans-serif"/>
          <w:b w:val="false"/>
          <w:color w:val="000000"/>
          <w:sz w:val="13"/>
        </w:rPr>
        <w:t>(b)    </w:t>
      </w:r>
      <w:r>
        <w:rPr>
          <w:rFonts w:ascii="Times New Roman;sans-serif" w:hAnsi="Times New Roman;sans-serif"/>
          <w:b w:val="false"/>
          <w:color w:val="000000"/>
          <w:sz w:val="20"/>
        </w:rPr>
        <w:t>The carrying value of the 8.25% Notes consists of the principal balance of $74.3 million and the sum of current and noncurrent interest payment obligations until maturity. Refer to Note 6</w:t>
      </w:r>
      <w:r>
        <w:rPr>
          <w:rFonts w:ascii="Times New Roman;sans-serif" w:hAnsi="Times New Roman;sans-serif"/>
          <w:b w:val="false"/>
          <w:i/>
          <w:color w:val="000000"/>
          <w:sz w:val="20"/>
        </w:rPr>
        <w:t>, Debt</w:t>
      </w:r>
      <w:r>
        <w:rPr>
          <w:rFonts w:ascii="Times New Roman;sans-serif" w:hAnsi="Times New Roman;sans-serif"/>
          <w:b w:val="false"/>
          <w:color w:val="000000"/>
          <w:sz w:val="20"/>
        </w:rPr>
        <w:t xml:space="preserve">. </w:t>
      </w:r>
    </w:p>
    <w:p>
      <w:pPr>
        <w:pStyle w:val="TextBody"/>
        <w:bidi w:val="0"/>
        <w:spacing w:before="120" w:after="283"/>
        <w:ind w:left="0" w:right="0" w:hanging="180"/>
        <w:jc w:val="left"/>
        <w:rPr/>
      </w:pPr>
      <w:r>
        <w:rPr/>
      </w:r>
    </w:p>
    <w:p>
      <w:pPr>
        <w:pStyle w:val="TextBody"/>
        <w:bidi w:val="0"/>
        <w:spacing w:before="120" w:after="283"/>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8. PENSION AND POSTRETIREMENT HEALTH AND LIFE BENEFITS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provides retirement benefits to certain employees and retirees under two qualified defined benefit pension plans, one postretirement health and life benefit plan and two disqualified plans.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components of net periodic benefit costs (credits) for the defined benefit pension plans were as follows (in millions):</w:t>
      </w:r>
    </w:p>
    <w:tbl>
      <w:tblPr>
        <w:tblW w:w="8400" w:type="dxa"/>
        <w:jc w:val="center"/>
        <w:tblInd w:w="0" w:type="dxa"/>
        <w:tblLayout w:type="fixed"/>
        <w:tblCellMar>
          <w:top w:w="28" w:type="dxa"/>
          <w:left w:w="28" w:type="dxa"/>
          <w:bottom w:w="28" w:type="dxa"/>
          <w:right w:w="28" w:type="dxa"/>
        </w:tblCellMar>
      </w:tblPr>
      <w:tblGrid>
        <w:gridCol w:w="1431"/>
        <w:gridCol w:w="1256"/>
        <w:gridCol w:w="1273"/>
        <w:gridCol w:w="211"/>
        <w:gridCol w:w="586"/>
        <w:gridCol w:w="109"/>
        <w:gridCol w:w="109"/>
        <w:gridCol w:w="109"/>
        <w:gridCol w:w="109"/>
        <w:gridCol w:w="211"/>
        <w:gridCol w:w="481"/>
        <w:gridCol w:w="109"/>
        <w:gridCol w:w="109"/>
        <w:gridCol w:w="109"/>
        <w:gridCol w:w="109"/>
        <w:gridCol w:w="211"/>
        <w:gridCol w:w="586"/>
        <w:gridCol w:w="109"/>
        <w:gridCol w:w="109"/>
        <w:gridCol w:w="109"/>
        <w:gridCol w:w="109"/>
        <w:gridCol w:w="211"/>
        <w:gridCol w:w="481"/>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w:t>
              <w:br/>
              <w:t>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costs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prior service costs (credits),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Remeasurement gain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Expected return on plan assets (gains)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Net periodic benefit costs (credits)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(0.2)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components of net periodic benefit costs for the postretirement health and life benefit plan were as follows (in millions):</w:t>
      </w:r>
    </w:p>
    <w:tbl>
      <w:tblPr>
        <w:tblW w:w="6317" w:type="dxa"/>
        <w:jc w:val="center"/>
        <w:tblInd w:w="0" w:type="dxa"/>
        <w:tblLayout w:type="fixed"/>
        <w:tblCellMar>
          <w:top w:w="28" w:type="dxa"/>
          <w:left w:w="28" w:type="dxa"/>
          <w:bottom w:w="28" w:type="dxa"/>
          <w:right w:w="28" w:type="dxa"/>
        </w:tblCellMar>
      </w:tblPr>
      <w:tblGrid>
        <w:gridCol w:w="803"/>
        <w:gridCol w:w="704"/>
        <w:gridCol w:w="712"/>
        <w:gridCol w:w="224"/>
        <w:gridCol w:w="447"/>
        <w:gridCol w:w="115"/>
        <w:gridCol w:w="115"/>
        <w:gridCol w:w="115"/>
        <w:gridCol w:w="115"/>
        <w:gridCol w:w="224"/>
        <w:gridCol w:w="447"/>
        <w:gridCol w:w="115"/>
        <w:gridCol w:w="109"/>
        <w:gridCol w:w="109"/>
        <w:gridCol w:w="109"/>
        <w:gridCol w:w="211"/>
        <w:gridCol w:w="421"/>
        <w:gridCol w:w="109"/>
        <w:gridCol w:w="109"/>
        <w:gridCol w:w="109"/>
        <w:gridCol w:w="109"/>
        <w:gridCol w:w="211"/>
        <w:gridCol w:w="421"/>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w:t>
              <w:br/>
              <w:t> June 30,</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costs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periodic benefit costs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1.1</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1.3</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270"/>
        <w:jc w:val="center"/>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Company reports service costs for its defined benefit pension plans and its postretirement health and life benefit plans in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i/>
          <w:color w:val="000000"/>
          <w:sz w:val="22"/>
        </w:rPr>
        <w:t>Selling, General and Administrative Expenses</w:t>
      </w:r>
      <w:r>
        <w:rPr>
          <w:rFonts w:ascii="Times New Roman;sans-serif" w:hAnsi="Times New Roman;sans-serif"/>
          <w:b w:val="false"/>
          <w:color w:val="000000"/>
          <w:sz w:val="22"/>
        </w:rPr>
        <w:t xml:space="preserve">. The remaining components of net periodic benefit (credits) costs are reported as </w:t>
      </w:r>
      <w:r>
        <w:rPr>
          <w:rFonts w:ascii="Times New Roman;sans-serif" w:hAnsi="Times New Roman;sans-serif"/>
          <w:b w:val="false"/>
          <w:i/>
          <w:color w:val="000000"/>
          <w:sz w:val="22"/>
        </w:rPr>
        <w:t>Nonoperating Components of Net Periodic Benefit Loss (Income).</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During the second quarter of 2024, the Company determined that it was probable that lump sum payouts for 2024 would be greater than the annual service and interest cost components of the annual net periodic benefit cost for two of its defined benefit pension plans. In addition, on May 28, 2024, the Company entered into an agreement with an insurer (“Insurer”) for two of its defined benefit plans to purchase a group annuity contract and transferred approximately $234 million of its pension plan obligations to the Insurer. The purchase of the group annuity contract was funded directly by assets of the pension plan of approximately $224 million. The purchase resulted in a transfer of benefit administrative responsibilities for more than 1,000 beneficiaries effective September 1,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These events triggered a remeasurement that resulted in a decrease in the benefit obligation and a corresponding net actuarial gain of $16.6 million for both the three and six months ended June 30, 2024. There were no pension plan remeasurements in the three and six months ended June 30, 2023. The related income was included in </w:t>
      </w:r>
      <w:r>
        <w:rPr>
          <w:rFonts w:ascii="Times New Roman;sans-serif" w:hAnsi="Times New Roman;sans-serif"/>
          <w:b w:val="false"/>
          <w:i/>
          <w:color w:val="000000"/>
          <w:sz w:val="22"/>
        </w:rPr>
        <w:t>Nonoperating Components of Net Periodic Benefit Loss (Income)</w:t>
      </w:r>
      <w:r>
        <w:rPr>
          <w:color w:val="000000"/>
        </w:rPr>
        <w:t xml:space="preserve"> </w:t>
      </w:r>
      <w:r>
        <w:rPr>
          <w:rFonts w:ascii="Times New Roman;sans-serif" w:hAnsi="Times New Roman;sans-serif"/>
          <w:b w:val="false"/>
          <w:color w:val="000000"/>
          <w:sz w:val="22"/>
        </w:rPr>
        <w:t>in the Consolidated Statements of Operations.</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9. NET INCOME PER SHARE</w:t>
      </w:r>
    </w:p>
    <w:p>
      <w:pPr>
        <w:pStyle w:val="TextBody"/>
        <w:bidi w:val="0"/>
        <w:spacing w:before="0" w:after="0"/>
        <w:jc w:val="left"/>
        <w:rPr/>
      </w:pPr>
      <w:r>
        <w:rPr/>
      </w:r>
    </w:p>
    <w:p>
      <w:pPr>
        <w:pStyle w:val="TextBody"/>
        <w:bidi w:val="0"/>
        <w:spacing w:lineRule="auto" w:line="288" w:before="0" w:after="20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Basic net income per share is calculated by dividing net income by the weighted average number of shares of common stock outstanding during the period. In calculating diluted net income per share, the number of shares is increased by the weighted average number of potential common shares related to stock compensation awards, including restricted stock, stock options, stock appreciation rights and notional stock units, and the Warrant. No dilutive effect is recognized in a period in which a net loss has occurred. </w:t>
      </w:r>
    </w:p>
    <w:p>
      <w:pPr>
        <w:pStyle w:val="TextBody"/>
        <w:bidi w:val="0"/>
        <w:spacing w:lineRule="auto" w:line="288" w:before="0" w:after="20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weighted average number of common and common equivalent shares used in the calculation of basic and diluted net income per share are as follows:</w:t>
      </w:r>
    </w:p>
    <w:tbl>
      <w:tblPr>
        <w:tblW w:w="10205" w:type="dxa"/>
        <w:jc w:val="center"/>
        <w:tblInd w:w="0" w:type="dxa"/>
        <w:tblLayout w:type="fixed"/>
        <w:tblCellMar>
          <w:top w:w="28" w:type="dxa"/>
          <w:left w:w="28" w:type="dxa"/>
          <w:bottom w:w="28" w:type="dxa"/>
          <w:right w:w="28" w:type="dxa"/>
        </w:tblCellMar>
      </w:tblPr>
      <w:tblGrid>
        <w:gridCol w:w="2160"/>
        <w:gridCol w:w="1811"/>
        <w:gridCol w:w="1822"/>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56"/>
      </w:tblGrid>
      <w:tr>
        <w:trPr/>
        <w:tc>
          <w:tcPr>
            <w:tcW w:w="2160"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w:t>
              <w:br/>
              <w:t> June 30,</w:t>
            </w:r>
          </w:p>
        </w:tc>
      </w:tr>
      <w:tr>
        <w:trPr/>
        <w:tc>
          <w:tcPr>
            <w:tcW w:w="5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Numerator (in millions):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19.9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Denominator (in thousands):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Average common shares outstanding - basic</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9"/>
              </w:rPr>
            </w:pPr>
            <w:r>
              <w:rPr>
                <w:rFonts w:ascii="Times New Roman;sans-serif" w:hAnsi="Times New Roman;sans-serif"/>
                <w:b w:val="false"/>
                <w:color w:val="000000"/>
                <w:sz w:val="19"/>
              </w:rPr>
              <w:t>15,002</w:t>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Potentially dilutive shares related to stock compensation awards and warrant</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304</w:t>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Average common shares outstanding - diluted</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16,226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15,369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16,125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15,306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Net income per share (in dollars):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equivalents excluded from the diluted calculation because they would have been antidilutive (in thousands)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w:t>
            </w:r>
          </w:p>
        </w:tc>
      </w:tr>
    </w:tbl>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10. STOCKHOLDERS’ EQUITY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2023 Shelf Registration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filed a shelf registration statement on Form S-3 (Registration Statement No. 333-272984) with the SEC on June 28, 2023, which became effective on July 10, 2023. Pursuant to this shelf registration statement, the Company may offer and sell up to $200 million in securities, in aggregate. The Company retains broad discretion over the use of the net proceeds from the sale of the securities offered.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Common Stock Issuance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9, 2024, the Company entered into an At Market Issuance Sales Agreement with B. Riley Securities, Inc., Lake Street Capital Markets, LLC and Roth Capital Partners, LLC (collectively, the “Agents”), relating to the ATM offering of shares of the Company’s Class A Common Stock. Pursuant to this sales agreement, the Company sold an aggregate of 275,202 and 451,830 shares of its Class A Common Stock at the market price in the three and six months ended June 30, 2024, respectively, for a total of $12.5 million and $19.9 million, respectively. After expenses and commissions paid to the Agents, the Company’s proceeds totaled $12.2 million and $19.3 million in the three and six months ended June 30, 2024, respectively. Additionally, the Company recorded direct costs of less than $0.1 million in both the three and six months ended June 30, 2024, related to the issuance. The shares of Class A Common Stock were issued pursuant to the Company’s shelf registration statement on Form S-3 (File No. 333-272984), which became effective on July 10, 2023, and a prospectus supplement dated February 9, 2024.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a separate sales agreement with its Agents, the Company sold, through its ATM offering at the market price, an aggregate of 0 and 722,568 shares of its Class A Common Stock in the three and six months ended June 30, 2023, respectively, for a total of $0 and $24.4 million, respectively. After expenses and commissions paid to the Agents, the Company’s proceeds totaled $0 and $23.4 million in the three and six months ended June 30, 2023, respectively. Additionally, the Company recorded direct costs of $0 and $0.2 million in the three and six months ended June 30, 2023, respectively, related to the issuance. The shares of Class A Common Stock were issued pursuant to the Company’s shelf registration statement on Form S-3 (File No. 333-239242), which became effective on August 5, 2020, and two prospectus supplements dated December 31, 2020 and December 5, 2022, respectively.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Unless otherwise specified in any prospectus supplement, the Company has used and/or intends to use the net proceeds from the sale of its securities offered under these prospectuses for working capital and general corporate purposes including, but not limited to, capital expenditures, repayment of indebtedness, potential acquisitions and other business opportunities. Pending any specific application, the Company may initially invest funds in short-term marketable securities or apply them to the reduction of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Rights Agreement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May 28, 2024, the Company entered into a Sixth Amendment to the Section 382 Rights Agreement (the “Rights Agreement”), which amends the Rights Agreement, dated as of April 6, 2016, by and among the Company, and Computershare Trust Company, N.A. and Computershare Inc., as rights agent, as previously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and (v) the Fifth Amendment to the Rights Agreement dated as of June 20, 2023.</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Fifth Amendment to the Rights Agreement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Fifth Amendment was not adopted as a result of, or in response to, any effort to acquire control of the Company. The Fifth Amendment was adopted in order to preserve for the Company’s stockholders the long-term value of the Company’s NOL carry-forwards for United States federal income tax purposes and other tax benefits.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Sixth Amendment was approved by the Board on May 28, 2024, and makes clarifying changes relating to the definition of “Beneficial Owner”, “beneficially owned” and “Beneficial Ownership” contained in the Rights Agreement. Please see Exhibit 4.1 in Item 6, </w:t>
      </w:r>
      <w:r>
        <w:rPr>
          <w:rFonts w:ascii="Times New Roman;sans-serif" w:hAnsi="Times New Roman;sans-serif"/>
          <w:b w:val="false"/>
          <w:i/>
          <w:color w:val="000000"/>
          <w:sz w:val="22"/>
        </w:rPr>
        <w:t>Exhibits</w:t>
      </w:r>
      <w:r>
        <w:rPr>
          <w:rFonts w:ascii="Times New Roman;sans-serif" w:hAnsi="Times New Roman;sans-serif"/>
          <w:b w:val="false"/>
          <w:color w:val="000000"/>
          <w:sz w:val="22"/>
        </w:rPr>
        <w:t>, for further details.</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Awards under Executive Incentive Plan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Under the Company’s 2019 Equity Incentive Plan, participating employees are eligible to receive grants of equity awards such as notional stock units and SARs. In April 2020, under the 2019 Equity Incentive Plan, notional stock units and SARs were granted to participating executives with a vesting period ending in April 2023.</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March 2022, 2023 and 2024 restricted stock units were granted to participating executives with a vesting period ending in March 2025, 2026 and 2027, respectively. The restricted stock unit awards are time based and payable in shares of the Company’s Class A Common Stock subject to achieving a threshold level of cumulative net income over the vesting period. The grant-date fair value is included in </w:t>
      </w:r>
      <w:r>
        <w:rPr>
          <w:rFonts w:ascii="Times New Roman;sans-serif" w:hAnsi="Times New Roman;sans-serif"/>
          <w:b w:val="false"/>
          <w:i/>
          <w:color w:val="000000"/>
          <w:sz w:val="22"/>
        </w:rPr>
        <w:t>Excess of Capital Over Par Value</w:t>
      </w:r>
      <w:r>
        <w:rPr>
          <w:color w:val="000000"/>
        </w:rPr>
        <w:t xml:space="preserve"> </w:t>
      </w:r>
      <w:r>
        <w:rPr>
          <w:rFonts w:ascii="Times New Roman;sans-serif" w:hAnsi="Times New Roman;sans-serif"/>
          <w:b w:val="false"/>
          <w:color w:val="000000"/>
          <w:sz w:val="22"/>
        </w:rPr>
        <w:t>as the value is amortized over the vesting period.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plan payouts for the 2020-2022 performance period were settled in Class A Common Stock in March and April 2023. In the first quarter of 2023, the Company withheld $1.9 million of shares that vested during the period to fund the tax withholding obligations under the terms of the stock-based compensation plan.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Class A Common Stock issued for the 2021-2023 performance period were issued in March 2024. The Company withheld $0.1 million of shares to fund the tax withholding obligations under the terms of the stock-based compensation plan.</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11. COMMITMENTS AND CONTINGENCIES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Commitments under SWU Purchase Agreements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TENEX</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Russian government-owned entity TENEX is a major supplier of SWU to the Company. Under the 2011 TENEX Supply Contract, the Company purchases SWU contained in LEU received from TENEX, and the Company delivers natural uranium hexafluoride to TENEX for the LEU’s uranium component. The LEU that the Company obtains from TENEX is subject to quotas and other restrictions applicable to commercial Russian LEU. Further, the ability of the Company or TENEX to perform under the TENEX Supply Contract is vulnerable to (i) sanctions or restrictions that have been or might be imposed by Russia, the United States, or other countries as a result of the war in Ukraine, or otherwise, (ii) customers and other parties who may object to receiving or handling Russian LEU or SWU, or (iii) suppliers and service providers seeking to limit their involvement with business related to Russia.</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TENEX Supply Contract originally was signed with commitments through 2022, but was modified in 2015 to give the Company the right to reschedule certain original commitments of SWU quantities into the period 2023 and beyond, in return for the purchase of additional SWU quantities in those years. The Company has exercised this right to reschedule SWU quantities in each year through December 31, 2023. As a result of exercising this right, the Company has purchase commitments that could extend to 2028.</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TENEX Supply Contract provides that the Company must pay for all SWU in its minimum purchase obligation each year, even if it fails to submit orders for such SWU. In such a case, the Company would pay for the SWU, but have to take the unordered SWU in the following year.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Pricing terms for SWU under the TENEX Supply Contract are based on a combination of market-related price points and other factors. This formula was subject to an adjustment at the end of 2018 that reduced the unit costs of SWU under this contract in 2019 and for the duration of the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Orano</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2018, the Company entered into the Orano Supply Agreement with a French company, Orano Cycle, for the long-term supply of SWU contained in LEU. The Orano Supply Agreement subsequently was assigned by Orano Cycle to its affiliate, Orano CE. Under the amended Orano Supply Agreement, the supply of SWU runs through 2030. The Orano Supply Agreement provides significant flexibility to adjust purchase volumes, subject to annual minimums and maximums in fixed amounts that vary year by year. The pricing for the SWU purchased by the Company is determined by a formula that uses a combination of market-related price points and other factors and is subject to certain floors and ceilings.</w:t>
      </w:r>
    </w:p>
    <w:p>
      <w:pPr>
        <w:pStyle w:val="TextBody"/>
        <w:bidi w:val="0"/>
        <w:spacing w:lineRule="auto" w:line="288" w:before="0" w:after="0"/>
        <w:ind w:left="0" w:right="0" w:firstLine="27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Milestones Under the 2002 DOE-USEC Agreement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predecessor, USEC Inc., and DOE signed the 2002 DOE-USEC Agreement dated June 17, 2002, pursuant to which the parties made long-term commitments directed at resolving issues related to the stability and security of the domestic uranium enrichment industry. This agreement requires Centrus to develop, demonstrate and deploy advanced enrichment technology in accordance with milestones, including the deployment of a commercial American Centrifuge Plant, and provides for remedies in the event of a failure to meet a milestone under certain circumstances, including terminating the agreement, revoking Centrus’ access to DOE’s centrifuge technology that is required for the success of the Company’s ongoing work with the American Centrifuge technology, requiring Centrus to transfer certain rights in the American Centrifuge technology and facilities to DOE, and requiring Centrus to reimburse DOE for certain costs associated with the American Centrifuge technology. The agreement provides further that if a delaying event beyond the control and without the fault or negligence of Centrus occurs that could affect Centrus’ ability to meet the American Centrifuge Plant milestones under the agreement, DOE and the Company will jointly meet to discuss in good faith possible adjustments to the milestones as appropriate to accommodate the delaying event. In 2014, the 2002 DOE-USEC Agreement and other agreements between the Company and DOE were assumed by Centrus subject to an express reservation of all rights, remedies and defenses by DOE and the Company under those agreements. DOE and the Company have agreed that all rights, remedies and defenses of the parties with respect to any missed milestones and all other matters under the 2002 DOE-USEC Agreement continue to be preserved, and that the time limits for each party to respond to any missed milestones continue to be tolled.</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Legal Matters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From time to time, the Company is involved in various pending legal proceedings, including the pending legal proceedings described below.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1993, USEC-Government entered into a lease for the Paducah and Portsmouth GDPs with the DOE. As part of that lease, DOE and USEC-Government also entered into a memorandum of understanding (“Power MOU”) regarding power purchase agreements between DOE and the providers of power to the GDPs. Under the Power MOU, DOE and USEC-Government agreed upon the allocation of rights and liabilities under the power purchase agreements. In 1998, USEC-Government was privatized and became Enrichment Corp., now a principal subsidiary of the Company. Pursuant to legislation authorizing the privatization, the lease for the GDPs, which included the Power MOU as an Appendix, was transferred to Enrichment Corp., and Enrichment Corp. was given the right to purchase power from DOE. The Paducah GDP was shut down in 2013 and deleased by Enrichment Corp. in 2014. On August 4, 2021, DOE informally informed Enrichment Corp. that the Joppa Power Plant, which had supplied power to the Paducah GDP, was planned to undergo D&amp;D. According to DOE, the power purchase agreement with Electric Energy Inc. requires DOE to pay for a portion of the D&amp;D costs of the Joppa Power Plant, and DOE has asserted that a portion of DOE’s liability is the responsibility of Enrichment Corp. under the Power MOU in the amount of approximately $9.6 million. The Company is assessing DOE’s assertions including whether all or a portion of any such potential liability had been previously settled. The Company has not formed an opinion on the merits of DOE’s claim nor is it able to estimate its potential liability, if any, for such claim and no expense or liability has been accrued.</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May 26, 2019, the Company, Enrichment Corp., and six other DOE contractors who have operated facilities at the Portsmouth GDP (including, in the case of the Company, the American Centrifuge Plant site located on the premises) were named as defendants in a class action complaint filed by Ursula McGlone, Jason McGlone, Julia Dunham, and K.D. and C.D., minor children by and through their parent and natural guardian Julia Dunham (collectively, the “McGlone Plaintiffs”) in the U.S. District Court in the Southern District of Ohio, Eastern Division. The complaint seeks damages for alleged off-site contamination allegedly resulting from activities on the Portsmouth GDP site. The McGlone Plaintiffs are seeking to represent a class of (i) all current or former residents within a seven-mile radius of the Portsmouth GDP site; and (ii) all students and their parents at the Zahn’s Corner Middle School from 1993-present. The complaint was amended on December 10, 2019, and on January 10, 2020 to add additional plaintiffs and new claims. On July 31, 2020, the court granted in part and denied in part the defendants’ motion to dismiss the case. The court dismissed ten of the fifteen claims and allowed the remaining claims to proceed to the next stage of the litigation process. On August 18, 2020, the McGlone Plaintiffs filed a motion for leave to file a third amended complaint and notice of dismissal of three of the individual plaintiffs. On March 18, 2021, the McGlone Plaintiffs filed a motion for leave to file a fourth amended complaint to add new plaintiffs and allegations. On March 19, 2021, the court granted the McGlone Plaintiffs’ motion for leave to amend the complaint to include Price-Anderson Act and eight other state law claims. On May 24, 2021, the Company, Enrichment Corp., and the other defendants filed their motion to dismiss the complaint. On March 31, 2022, the court granted the Company’s motion in part by dismissing claims brought on behalf of the minor children but allowed the other claims to proceed. As such, the discovery stage of litigation is continuing. On April 28, 2022, the Company, Enrichment Corp., and the other defendants filed their answer to the fourth amended complaint. The Company believes that its operations at the Portsmouth GDP site were fully in compliance with the NRC’s regulations. Further, the Company and Enrichment Corp. believe that any such liability should be indemnified under the Price-Anderson Act. The Company and Enrichment Corp. have provided notifications to DOE required to invoke indemnification under the Price-Anderson Act and other contractual provisions.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June 8, 2022, the Company, Enrichment Corp., and six other DOE contractors who operated facilities at the Portsmouth GDP were named as defendants in a complaint filed by Brad Allen Lykins, as administrator of the estate of Braden Aaron Lee Lykins in the U.S. District Court in the Southern District of Ohio, Eastern Division (the “Lykins Complaint”). In March 2021, Brayden Lykins, who was thirteen years old, passed away from leukemia. The complaint alleges that the defendants released radiation into the environment in violation of the Price-Anderson Act causing Lykins’ death and seeks monetary damages. On August 30, 2022, the Company, Enrichment Corp., and the other defendants filed their answer to the Lykins Complaint. The Company and Enrichment Corp. believe that their operations at the Portsmouth GDP site were fully in compliance with the NRC’s regulations. Further, the Company and Enrichment Corp. believe that any such liability should be indemnified by DOE under the Price-Anderson Act. The Company and Enrichment Corp. have provided notifications to DOE required to invoke indemnification under the Price-Anderson Act and other contractual provisions.</w:t>
      </w:r>
    </w:p>
    <w:p>
      <w:pPr>
        <w:pStyle w:val="TextBody"/>
        <w:bidi w:val="0"/>
        <w:spacing w:before="0" w:after="0"/>
        <w:ind w:left="0" w:right="0" w:firstLine="274"/>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March 8, 2023, the Company, Enrichment Corp., and six other DOE contractors that operated facilities at the Portsmouth GDP were named as defendants in a complaint filed by Christian Rose in the U.S. District Court in the Southern District of Ohio, Eastern Division (the “Rose Complaint”). Christian Rose was diagnosed with cancer in June 2022. Although Mr. Rose is an adult, he attended the Zahn’s Corner Middle School, which was closed a few years ago due to contamination and is in the vicinity of the plant. The Rose Complaint alleges that the defendants released radiation into the environment in violation of the Price-Anderson Act causing death – even though the plaintiff is still alive – and seeks monetary damages in the nature of past and future medical expenses, pain and suffering and punitive damages, among others. On May 15, 2023, the Company, Enrichment Corp. and the other defendants filed their answers to the Rose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27, 2023, the Company, Enrichment Corp. and six other DOE contractors who operated facilities at the Portsmouth GDP were named as defendants in a complaint filed by Joshua Shaw in the U.S. District Court in the Southern District of Ohio, Eastern Division (the “Shaw Complaint”). Joshua Shaw was diagnosed with Acute Myeloid Leukemia (“AML”) in August 2008 and after going through chemotherapy continues to experience aftereffects of AML, including anxiety and fatigue. The Shaw Complaint alleges that the defendants released radiation into the environment exposing Mr. Shaw to radiation in violation of the Price-Anderson Act and causing Mr. Shaw’s AML and other injuries. Mr. Shaw seeks monetary damages in the nature of past and future medical expenses for treatment and care, pain and suffering and punitive damages, among others. On February 26, 2024, the Company, Enrichment Corp. and the other defendants filed their motion to dismiss the Shaw Complaint, which was thereafter amended on March 14, 2024. On March 28, 2024, the Company, Enrichment Corp. and the other defendants filed their motion to dismiss the amended Shaw Complaint, and, on May 31, 2024 filed their reply to support their motion to dismiss the amended Shaw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is subject to various legal proceedings and claims, either asserted or unasserted, which arise in the ordinary course of business. While the outcome of these claims cannot be predicted with certainty, Centrus does not believe that the outcome of any of these legal matters, individually and in the aggregate, will have a material adverse effect on its cash flows, results of operations, or consolidated financial condition.</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12. SEGMENT INFORMATION</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Gross profit is the Company’s measure for segment reporting. There were no intersegment sales in the periods presented. Refer to Note 2</w:t>
      </w:r>
      <w:r>
        <w:rPr>
          <w:rFonts w:ascii="Times New Roman;sans-serif" w:hAnsi="Times New Roman;sans-serif"/>
          <w:b w:val="false"/>
          <w:i/>
          <w:color w:val="000000"/>
          <w:sz w:val="22"/>
        </w:rPr>
        <w:t>, Revenue and Contracts with Customers,</w:t>
      </w:r>
      <w:r>
        <w:rPr>
          <w:color w:val="000000"/>
        </w:rPr>
        <w:t xml:space="preserve"> </w:t>
      </w:r>
      <w:r>
        <w:rPr>
          <w:rFonts w:ascii="Times New Roman;sans-serif" w:hAnsi="Times New Roman;sans-serif"/>
          <w:b w:val="false"/>
          <w:color w:val="000000"/>
          <w:sz w:val="22"/>
        </w:rPr>
        <w:t>for additional details on revenue for each segment. The following table presents the Company’s segment information (in millions):</w:t>
      </w:r>
    </w:p>
    <w:p>
      <w:pPr>
        <w:pStyle w:val="TextBody"/>
        <w:bidi w:val="0"/>
        <w:spacing w:before="0" w:after="0"/>
        <w:jc w:val="left"/>
        <w:rPr/>
      </w:pPr>
      <w:r>
        <w:rPr/>
      </w:r>
    </w:p>
    <w:tbl>
      <w:tblPr>
        <w:tblW w:w="7200" w:type="dxa"/>
        <w:jc w:val="center"/>
        <w:tblInd w:w="0" w:type="dxa"/>
        <w:tblLayout w:type="fixed"/>
        <w:tblCellMar>
          <w:top w:w="28" w:type="dxa"/>
          <w:left w:w="28" w:type="dxa"/>
          <w:bottom w:w="28" w:type="dxa"/>
          <w:right w:w="28" w:type="dxa"/>
        </w:tblCellMar>
      </w:tblPr>
      <w:tblGrid>
        <w:gridCol w:w="895"/>
        <w:gridCol w:w="788"/>
        <w:gridCol w:w="792"/>
        <w:gridCol w:w="211"/>
        <w:gridCol w:w="631"/>
        <w:gridCol w:w="109"/>
        <w:gridCol w:w="109"/>
        <w:gridCol w:w="109"/>
        <w:gridCol w:w="109"/>
        <w:gridCol w:w="211"/>
        <w:gridCol w:w="526"/>
        <w:gridCol w:w="109"/>
        <w:gridCol w:w="109"/>
        <w:gridCol w:w="109"/>
        <w:gridCol w:w="109"/>
        <w:gridCol w:w="211"/>
        <w:gridCol w:w="631"/>
        <w:gridCol w:w="109"/>
        <w:gridCol w:w="109"/>
        <w:gridCol w:w="109"/>
        <w:gridCol w:w="109"/>
        <w:gridCol w:w="211"/>
        <w:gridCol w:w="631"/>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w:t>
              <w:br/>
              <w:t> 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LEU segment: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Separative work units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Uranium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193.2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146.4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Technical Solutions segment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189.0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98.4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165.3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Segment Gross Profit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LEU segment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Technical Solutions segment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51.0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Revenue from Major Customers (10% or More of Total Revenue)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both the three and six months ended June 30, 2024, four customers in the LEU segment individually represented $42.3 million, $35.4 million, $34.5 million, and $30.2 million of revenue. One customer in the Technical Solutions segment individually represented $18.9 million and $38.7 million of revenue in the three and six months ended June 30, 2024, respectively.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the three months ended June 30, 2023, three customers in the LEU segment individually represented $47.8 million, $14.8 million, and $13.6 million of revenue. In the six months ended June 30, 2023, two customers in the LEU segment individually represented $47.8 million and $41.6 million of revenue. One customer in the Technical Solutions segment individually represented $10.7 million and $18.7 million of revenue in the three and six months ended June 30, 2023, respectively. </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2. </w:t>
      </w:r>
      <w:r>
        <w:rPr>
          <w:rFonts w:ascii="Times New Roman;sans-serif" w:hAnsi="Times New Roman;sans-serif"/>
          <w:b/>
          <w:i/>
          <w:color w:val="000000"/>
          <w:sz w:val="22"/>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discussion should be read in conjunction with, and is qualified in its entirety by reference to, the unaudited Consolidated Financial Statements and related notes appearing elsewhere in this report.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This discussion contains forward-looking statements that involve risks and uncertainties. Actual results could differ significantly from the results discussed in the forward-looking statements particularly in light of the economic, social, and market uncertainty created by, among other things, the war in Ukraine. See “Forward-Looking Statements” at the beginning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Centrus Energy Corp., a Delaware corporation (“Centrus,” the “Company”, “we” or “us”), is a trusted supplier of nuclear fuel components and services for the nuclear power industry, which provides a reliable source of carbon free energy. References to “Centrus”, the “Company”, “our”, or “we” include Centrus Energy Corp. and its wholly owned subsidiaries as well as the predecessor to Centrus, unless the context indicates otherwise.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Centrus operates two business segments: (a) LEU, which supplies various components of nuclear fuel to commercial customers from our global network of suppliers, and (b) Technical Solutions, which provides advanced engineering, design, and manufacturing services to government and private sector customers and is deploying uranium enrichment and other capabilities necessary for production of advanced nuclear fuel to power existing and next-generation reactors around the world.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LEU segment currently provides most of the Company’s revenue and involves the sale of enriched uranium, the fissile component of nuclear fuel, primarily to utilities that operate commercial nuclear power plants. The majority of these sales are for the enrichment component of LEU, which is measured in SWU. Centrus also sells natural uranium hexafluoride (the raw material needed to produce LEU) and occasionally sells uranium concentrates, uranium conversion, or LEU with the natural uranium hexafluoride and SWU components combined into one sale.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LEU is a critical component in the production of nuclear fuel for reactors that produce electricity. We supply LEU and its components to both domestic and international utilities for use in nuclear reactors worldwide. We provide LEU from multiple sources, including our inventory, medium- and long-term supply contracts, and spot purchases. As a long-term supplier of LEU to our customers, our objective is to provide value through the reliability and diversity of our supply sources.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Published spot price indicators for SWU reached historic highs in April 2009 at $163 per SWU. In the years following the 2011 Fukushima accident in Japan, spot prices declined more than 75%,</w:t>
      </w:r>
      <w:r>
        <w:rPr>
          <w:color w:val="000000"/>
        </w:rPr>
        <w:t xml:space="preserve"> </w:t>
      </w:r>
      <w:r>
        <w:rPr>
          <w:rFonts w:ascii="Times New Roman;sans-serif" w:hAnsi="Times New Roman;sans-serif"/>
          <w:b w:val="false"/>
          <w:color w:val="000000"/>
          <w:sz w:val="22"/>
        </w:rPr>
        <w:t xml:space="preserve">bottoming out in August 2018 at $34 per SWU. This was followed by a period of price increases, which reached $155 per SWU by December 31, 2023. As of June 30, 2024, spot prices were $176 per SWU. This represents an increase of 14% since the beginning of the year and 418% over the 2018 historic low. This surge in the SWU spot price beginning in 2022 has been driven primarily by uncertainty created as a result of the war in Ukraine, coupled with growing interest in nuclear power as a source of reliable carbon-free energy.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When Russian supply is included, the uranium enrichment segment of the global nuclear fuel market is oversupplied. But without Russian supply, the global market for uranium enrichment would be undersupplied. Further, it is not clear that there are sufficient inventories of enriched uranium in the United States to compensate for a loss of Russian supply, absent new capacity that will take a number of years to deploy. A report issued by the International Atomic Energy Agency in 2023 reported that while U.S. utilities may have enough inventory to cover one reload of their reactors, “truly strategic physical stockpiles are almost non-existent.”</w:t>
      </w:r>
      <w:r>
        <w:rPr>
          <w:rFonts w:ascii="Times New Roman;sans-serif" w:hAnsi="Times New Roman;sans-serif"/>
          <w:b w:val="false"/>
          <w:color w:val="000000"/>
          <w:sz w:val="14"/>
        </w:rPr>
        <w:t>1</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International Atomic Energy Agency, “Global Inventories of Secondary Uranium Supplies” (IAEA-TECDOC-2030), p. 54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Changes in the supply-demand balance and in the competitive landscape arising from the war in Ukraine may affect pricing trends, change customer spending patterns, and create additional uncertainty in the uranium market. At the same time, uncertainty remains about future demand for nuclear power generation. To address such changes and uncertainty, we continue to evaluate opportunities to grow our business organically or through acquisitions and other strategic transactions.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Technical Solutions segment is committed to the restoration of America’s domestic uranium enrichment production capability in order to play a critical role in meeting U.S. national security and energy security requirements and advancing America’s nonproliferation, energy, and climate objectives. Our Technical Solutions segment is also focused on repairing broken and vulnerable supply chains, providing clean energy jobs, and supporting the communities in which we operate. Our goal is to deliver major components of the next-generation nuclear fuels that will provide reliable carbon-free power around the world.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Under the 2019 HALEU Demonstration Contract, Centrus was engaged by the DOE to construct a cascade of 16 AC100M centrifuges in Piketon, Ohio to demonstrate HALEU production. The DOE has funded the contract up to $173.0 million with a period of performance that ended November 30, 2022. Closeout activities on the HALEU Demonstration Contract are ongoing. The DOE elected to change the scope of the HALEU Demonstration Contract and moved the operational portion of the contract to a new, competitively-awarded contract that would provide for operations beyond the term of the existing HALEU Demonstration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On November 10, 2022, the DOE notified Centrus that the Company had been awarded the HALEU Operation Contract and work began on December 1, 2022. The base contract value is approximately $150 million with two phases through 2024. Phase 1 included an approximately $30 million cost-share contribution from Centrus matched by approximately $30 million from the DOE to complete construction of the cascade, begin operations and produce the initial 20 kilograms of HALEU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by no later than December 31, 2023. On October 11, 2023, the Company announced that it began enrichment operations in Piketon, Ohio. On November 7, 2023, the Company announced that it made its first delivery of HALEU to the DOE, completing Phase 1 by successfully demonstrating its HALEU production process. During November 2023, the Company transitioned to Phase 2 of the HALEU Operation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Phase 2 of the HALEU Operation Contract includes production of 900 kilograms of HALEU UF</w:t>
      </w:r>
      <w:r>
        <w:rPr>
          <w:rFonts w:ascii="Times New Roman;sans-serif" w:hAnsi="Times New Roman;sans-serif"/>
          <w:b w:val="false"/>
          <w:color w:val="000000"/>
          <w:sz w:val="14"/>
        </w:rPr>
        <w:t xml:space="preserve">6 </w:t>
      </w:r>
      <w:r>
        <w:rPr>
          <w:rFonts w:ascii="Times New Roman;sans-serif" w:hAnsi="Times New Roman;sans-serif"/>
          <w:b w:val="false"/>
          <w:color w:val="000000"/>
          <w:sz w:val="22"/>
        </w:rPr>
        <w:t>per year as well as continued operations and maintenance. The DOE owns the HALEU produced from the demonstration cascade, and Centrus is being compensated on a cost-plus-incentive-fee basis, with an expected Phase 2 contract value of approximately $90 million, subject to Congressional appropriations. The HALEU Operation Contract also gives DOE options to pay for up to nine additional years of production from the cascade beyond the base contract; those options are at the DOE’s sole discretion and subject to the availability of Congressional appropriations. Concurrently, pursuant to an amendment to our lease for the Piketon facility, the DOE assumed all D&amp;D liabilities arising out of the HALEU Operation Contract.</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Under the HALEU Operation Contract, DOE is contractually obligated to provide the 5B Cylinders necessary to collect the output of the cascade, but ongoing supply chain challenges have created difficulties for the DOE in timely securing enough 5B Cylinders for the entire production year. To support the DOE in mitigating the risk of further delays in delivery of 5B Cylinders, the Company received technical direction and a contract modification from the DOE to procure compliant 5B Cylinders and components. The contractual obligation to furnish compliant 5B Cylinders under the HALEU Operation Contract continues to rest with the DOE. During periods where quantities of 5B Cylinders are insufficient, the Company will not be able to produce HALEU but will be able to continue operations of the cascade and perform preventive maintenance and regulatory compliance-type activities. Centrus anticipates that the delays in obtaining sufficient 5B Cylinders will be temporary but no longer expects to achieve delivery of the 900 kilograms of HALEU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anticipated for Phase 2 of the contract, which extends to November 2024. Although inadequate for meeting the full delivery quantity target, the DOE has been successful in locating a small number of 5B Cylinders. Using the 5B Cylinders currently made available by the DOE, Centrus has now achieved cumulative deliveries to the DOE of approximately 179 kilograms of HALEU UF</w:t>
      </w:r>
      <w:r>
        <w:rPr>
          <w:rFonts w:ascii="Times New Roman;sans-serif" w:hAnsi="Times New Roman;sans-serif"/>
          <w:b w:val="false"/>
          <w:color w:val="000000"/>
          <w:sz w:val="14"/>
        </w:rPr>
        <w:t>6</w:t>
      </w:r>
      <w:r>
        <w:rPr>
          <w:rFonts w:ascii="Times New Roman;sans-serif" w:hAnsi="Times New Roman;sans-serif"/>
          <w:b w:val="false"/>
          <w:color w:val="000000"/>
          <w:sz w:val="22"/>
        </w:rPr>
        <w:t>. We anticipate additional 5B Cylinders will be available during the third quarter, which will allow the Company to continue producing HALEU. The target fee for Phase 2 of the contract was estimated to be $7.5 million based on the estimated costs for the contract and is subject to a contract minimum fee of $6.9 million. In accordance with the HALEU Operation Contract, the Company has submitted several change requests for work being performed on infrastructure, facility repairs, and 5B Cylinders. The additional work is being performed under the DOE’s technical direction or contract modifications.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DOE continues to pursue the availability of HALEU for the ARDP and for the advanced reactor market in general. The DOE issued RFPs for deconversion of HALEU into different forms needed to fabricate fuels used by various advanced reactor developers and the production of HALEU on November 28, 2023 and January 9, 2024, respectively. On June 27, 2024, the DOE issued an RFP focusing on the domestic production of LEU to ensure the availability of enriched uranium in a quantity that would be sufficient to address a supply disruption and gaps in domestic production and enrichment. The Company has submitted proposals in response to each of the November 28, 2023 and January 9, 2024 RFPs, and expects to submit a proposal in response to the June 27, 2024 RFP with the goal of expanding production capability at the Piketon facility, subject to availability of funding and/or off-take commitments. We understand that the DOE plans to award multiple indefinite delivery-indefinite quantity contracts to one or more successful bidders, after which one or more awardees would compete for individual task orders. The total to be awarded under the RFPs is $3.4 billion with a minimum of $2.0 million for each award, subject to further appropriations. Although we believe that we are well positioned, there is no assurance that we will be awarded a contract under any of the RFPs and, if awarded, the nature, timing and amount of the task orders that may be issued under an award is uncertain.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war in Ukraine (along with the recently enacted Import Ban Act, which had been contemplated by the Congress for more than a year) has contributed to a significant increase in market prices for enrichment and prompted calls for public and private investment in new, domestic uranium enrichment capacity not only for HALEU production, but also for LEU production to support the existing fleet of reactors. As a result, coupled with competing for an award under the January 9, 2024 RFP, Centrus is exploring the opportunity to deploy LEU enrichment alongside HALEU enrichment to meet a range of commercial and U.S. government requirements, which would bring cost synergies while increasing revenue opportunities. Our ability to deploy LEU and/or HALEU enrichment, and the timing, sequencing, and scale of those capabilities, is subject to the availability of funding (through outstanding DOE RFPs and other sources) and off-take commitments.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Energy Act of 2020, which was signed into law in December 2020, requires the DOE to establish a program to support the availability of HALEU for civilian domestic research, development, demonstration, and commercial use. The Energy Act also reauthorized DOE nuclear energy research, development, demonstration, and commercial application activities, including advanced fuel, research and development for advanced reactors, used fuel technologies, and integration of nuclear energy systems for both existing plants and advanced nuclear concepts. It also authorized the funding of an ARDP which was launched by the DOE in May 2020. There are a number of advanced reactors under development that would use HALEU. Nine of the ten advanced reactor designs selected by the DOE for its ARDP will require HALEU. Various agencies of the U.S. government, including the U.S. Department of Defense, the Defense Advanced Research Projects Agency, and the DOE are building small modular reactors and microreactors, which demonstrates the focus on both the development of microreactors and HALEU. We believe our investments in advanced enrichment technology and our progress in demonstrating HALEU production will position the Company to meet the needs of government and commercial customers in the future as they deploy advanced reactors and next generation fuels and also offers potential cost synergies for a return to LEU production. Further, the Company is taking steps to pursue, including through the exploration of strategic partnerships, technologies that are complementary to HALEU production and critical to the HALEU ecosystem, including deconversion and fuel fabrication.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While the monthly price indicators have increased for several years, the uranium enrichment segment of the nuclear fuel market remains oversupplied and faces uncertainty about future demand for nuclear power generation. However, without Russian supply, the global market would be undersupplied for uranium enrichment. Recent data from the International Trade Commission shows a significant increase of the importation of enriched uranium into the U.S. from China in 2023 and 2024.</w:t>
      </w:r>
      <w:r>
        <w:rPr>
          <w:color w:val="000000"/>
        </w:rPr>
        <w:t xml:space="preserve"> </w:t>
      </w:r>
      <w:r>
        <w:rPr>
          <w:rFonts w:ascii="Times New Roman;sans-serif" w:hAnsi="Times New Roman;sans-serif"/>
          <w:b w:val="false"/>
          <w:color w:val="000000"/>
          <w:sz w:val="22"/>
        </w:rPr>
        <w:t xml:space="preserve">If this trend continues, it will likely have significant changes in the competitive landscape that will affect pricing trends and customer spending patterns and create uncertainty and likely have a negative impact on our business. To address these changes, we have taken steps to adjust our cost structure; we may seek further adjustments to our cost structure and operations and evaluate opportunities to grow our business organically or through acquisitions and other strategic </w:t>
      </w:r>
      <w:r>
        <w:rPr>
          <w:rFonts w:ascii="Times New Roman;sans-serif" w:hAnsi="Times New Roman;sans-serif"/>
          <w:b w:val="false"/>
          <w:color w:val="000000"/>
          <w:sz w:val="24"/>
        </w:rPr>
        <w:t>transactions</w:t>
      </w:r>
      <w:r>
        <w:rPr>
          <w:rFonts w:ascii="Times New Roman;sans-serif" w:hAnsi="Times New Roman;sans-serif"/>
          <w:b w:val="false"/>
          <w:color w:val="000000"/>
          <w:sz w:val="22"/>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We are also actively considering and expect to consider potential strategic transactions from time to time, which could involve, without limitation, acquisitions and/or dispositions of businesses or assets, joint ventures or investments in businesses, products or technologies or changes to our capital structure. For further discussion, refer to </w:t>
      </w:r>
      <w:r>
        <w:rPr>
          <w:rFonts w:ascii="Times New Roman;sans-serif" w:hAnsi="Times New Roman;sans-serif"/>
          <w:b w:val="false"/>
          <w:i/>
          <w:color w:val="000000"/>
          <w:sz w:val="22"/>
        </w:rPr>
        <w:t xml:space="preserve">Liquidity and Capital Resources </w:t>
      </w:r>
      <w:r>
        <w:rPr>
          <w:rFonts w:ascii="Times New Roman;sans-serif" w:hAnsi="Times New Roman;sans-serif"/>
          <w:b w:val="false"/>
          <w:color w:val="000000"/>
          <w:sz w:val="22"/>
        </w:rPr>
        <w:t>in this Quarterly Report on Form 10-Q.</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Market Conditions and Outlook</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global nuclear industry outlook has improved after many years of decline or stagnation. The development of advanced small and large-scale reactors, the innovation of advanced fuel types, and the commitment of nations to begin deploying nuclear power or to increase the share of nuclear power in their nations has created optimism in the market. Part of the momentum has resulted from efforts to lower greenhouse gas emissions to combat climate change and improve health and safety.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According to the WNA, as of June 2024, there were 60 reactors under construction worldwide, approximately one-half of which are in China. The United States, with over 90 operating reactors, remains the world’s largest market for nuclear fuel. The nuclear industry in the United States, Japan, and Europe faces headwinds as well as opportunities. In the United States, the industry has been under pressure from the expansion of subsidized renewable energy as well as relatively low-cost natural gas resources in recent years, although natural gas prices in the U.S. electricity sector tripled between 2020 and 2022 according to data from the U.S. Energy Information Administration (“EIA”). Nine U.S. reactors have prematurely shut down in the past ten years, and others could shut down in the next few years. At the same time, construction was completed and commercial operations began in the second quarter of 2024 on one large reactor and one formerly shutdown reactor has plans to restart. The DOE recently released a report outlining a pathway to deployment of approximately 200 gigawatts of additional capacity by 2050, which would triple the nuclear energy capacity in the United States.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IEA projects that global nuclear energy generation will grow substantially in the next three decades. In the IEA’s </w:t>
      </w:r>
      <w:r>
        <w:rPr>
          <w:rFonts w:ascii="Times New Roman;sans-serif" w:hAnsi="Times New Roman;sans-serif"/>
          <w:b w:val="false"/>
          <w:i/>
          <w:color w:val="000000"/>
          <w:sz w:val="22"/>
        </w:rPr>
        <w:t>2023 World Energy Outlook</w:t>
      </w:r>
      <w:r>
        <w:rPr>
          <w:rFonts w:ascii="Times New Roman;sans-serif" w:hAnsi="Times New Roman;sans-serif"/>
          <w:b w:val="false"/>
          <w:color w:val="000000"/>
          <w:sz w:val="22"/>
        </w:rPr>
        <w:t xml:space="preserve">, nuclear generation is forecasted to grow by 25% by 2030 and 45% by 2040 under the “Stated Policies” scenario. In the “Net Zero Emissions by 2050” scenario, nuclear generation would grow by 47% by 2030 and more than double by 2040.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before="0" w:after="0"/>
        <w:ind w:left="0" w:right="0" w:firstLine="270"/>
        <w:jc w:val="center"/>
        <w:rPr/>
      </w:pPr>
      <w:r>
        <w:rPr/>
        <w:drawing>
          <wp:inline distT="0" distB="0" distL="0" distR="0">
            <wp:extent cx="5486400" cy="4752975"/>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5486400" cy="4752975"/>
                    </a:xfrm>
                    <a:prstGeom prst="rect">
                      <a:avLst/>
                    </a:prstGeom>
                  </pic:spPr>
                </pic:pic>
              </a:graphicData>
            </a:graphic>
          </wp:inline>
        </w:drawing>
      </w:r>
    </w:p>
    <w:p>
      <w:pPr>
        <w:pStyle w:val="TextBody"/>
        <w:bidi w:val="0"/>
        <w:spacing w:before="0" w:after="0"/>
        <w:ind w:left="0" w:right="0" w:firstLine="270"/>
        <w:jc w:val="left"/>
        <w:rPr/>
      </w:pPr>
      <w:r>
        <w:rPr/>
      </w:r>
    </w:p>
    <w:p>
      <w:pPr>
        <w:pStyle w:val="TextBody"/>
        <w:bidi w:val="0"/>
        <w:spacing w:before="0" w:after="0"/>
        <w:ind w:left="0" w:right="0" w:firstLine="270"/>
        <w:jc w:val="center"/>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As a consequence of the March 2011 earthquake and tsunami in Japan, over 60 reactors in Japan and Germany were taken offline, and other countries curtailed or slowed their construction of new reactors or accelerated the retirement of existing plants. In Japan, 12 reactors have restarted and an additional 13 reactors are in the process of restart approval. Due to the war in Ukraine, the EU is encouraging its member countries to reconsider the planned early retirement of existing plants in order to reduce reliance on Russian gas imports.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October 2020, the DOC reached an agreement with the Russian Federation on an extension of the RSA, a trade agreement that allows for Russian-origin nuclear fuel to be exported to the United States in limited quantities. The two parties agreed to extend the agreement through 2040 and to set aside a significant portion of the quota for Centrus’ shipments to the United States through 2028 to perform under our TENEX Supply Contract. This outcome allowed for sufficient quota for Centrus to continue serving its utility customers and support its investments in building new capacity. Use of this quota is subject to compliance with limitations under the RSA. These limitations include a requirement that we return natural uranium to TENEX for the LEU we receive under the TENEX Supply Contract at approximately the same time that we deliver the LEU to our customers. Our ability to meet this requirement depends on the capacity or willingness of the facilities, where natural uranium is supplied to us by customers, to allow us to deliver this natural uranium to TENEX. We were notified by one facility that it will no longer receive natural uranium for TENEX. As a result, we will need to rely to a greater extent on deliveries at other processors or explore other options in order to comply with the RSA’s natural uranium delivery requirement.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July 13, 2023, the Company and TerraPower, LLC (“TerraPower”) entered into a memorandum of understanding (“MOU”) to expand their collaboration aimed at establishing commercial-scale, domestic production capabilities for HALEU to fuel the Natrium TM reactor that TerraPower is building in Wyoming. Under this MOU, the Company and TerraPower will collaborate to ensure the Natrium demonstration reactor will have sufficient HALEU at the milestones necessary to meet the project's 2030 operation date. Subject to a definitive agreement to be negotiated, Centrus will work toward scaling up production capacity with additional centrifuge cascades to meet TerraPower's fuel requirements.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August 28, 2023, the Company and Oklo Inc. (“Oklo”) announced a new MOU to support the deployment of Oklo’s advanced fission powerhouses and advanced nuclear fuel production in Southern Ohio subject to a definitive agreement to be negotiated. Oklo and Centrus plan to enter into a broad range of collaboration programs supporting the development and operation of Oklo’s Aurora powerhouses, including supply of HALEU produced by Centrus at the Piketon, Ohio facility. Centrus also intends to buy clean, reliable, and affordable energy from Oklo’s planned Ohio plants to power its HALEU production facility.</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war in Ukraine has escalated tensions between Russia and the international community. As a result, the United States and other countries have imposed, including through the U.S.’s enactment of the Import Ban Act discussed below, and may continue imposing, additional sanctions and export controls against certain Russian products, services, organizations, and/or individuals. Such additional restrictions could affect our ability to purchase, take delivery of, transport, or re-sell Russian uranium enrichment, engage in transactions with TENEX, or implement the TENEX Supply Contract, which would have a negative material impact on our business. Further, sanctions by the United States, Russia or other countries may impact our ability and cost to transport, export, import, take delivery, or make payments related to the LEU we purchase and may require us to increase purchases from non-Russian sources to the extent available. For example, due to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extended to March 2027, but for so long as the sanctions remain in place, the shipper will require further extensions beyond the current validity of the permit for continued shipments of LEU imports. In addition, on June 24, 2024, members of the EU agreed to issue a 14th sanctions package, primarily targeting the export of Russian liquid natural gas and other services. The sanctions package includes restrictions on the transportation of empty containers to Russia. Since we supply empty cylinders under the TENEX Supply Contract that are filled and returned to us, this new sanctions package may impact the transportation of LEU from Russia to the extent such export activity has a nexus to a EU member state (e.g., through a ship’s flag, nationalities of crew members, etc.). This new sanctions package does not impact our near term deliveries. We are working with our shipper to determine the extent of the impact of the new sanctions on the transportation of LEU from Russia which may ultimately require our shipper to obtain special authorizations for the shipment of empty containers to Russia if a nexus with a EU member state exists.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response to the war in Ukraine, there were proposals to ban imports of uranium products that could cut off or reduce our ability to import LEU in one or more years under the TENEX Supply Contract. In fact, on May 13, 2024, the Import Ban Act was enacted. This new law bans imports of LEU from Russia into the U.S. beginning ninety (90) days after the date of enactment, subject to issuance of waivers by the DOE. In accordance with the instructions published by the DOE on May 24, 2024, the Company filed its first waiver request application on May 27, 2024, to permit the importation of LEU already committed for delivery to its U.S. customers in 2024 through 2027. On July 18, 2024, the DOE issued the Company a waiver allowing it to import LEU from Russia for deliveries already committed by the Company to its U.S. customers in years 2024 and 2025. For the years 2026 and 2027, the DOE deferred its decision to an unspecified date closer in time to the deliveries. On June 7, 2024, the Company filed a second waiver request application to allow for importation of LEU from Russia for processing and reexport to the Company's foreign customers and is awaiting DOE's determination. The Company plans to file a third waiver request application to allow for importation of LEU from Russia in 2026 and 2027 for use in the U.S. that have yet to be committed to our customers. The U.S. ban on imports of Russian LEU, without the grant of additional timely waivers, would have a negative material impact on our business. Through 2027, well over one-half of the LEU that we expect to deliver to customers was sourced under the TENEX Supply Contract. While we have other sources of supply, they are not sufficient to replace the TENEX supply. It is uncertain whether any waiver would be granted in response to our pending or any potential future applications and, if granted, whether any waiver would be granted in a timely manner.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there is draft legislation in the U.S. Congress designed to impose sanctions on Rosatom which would prohibit (again, subject to government-issued waivers) transactions with TENEX, a subsidiary of Rosatom. Since the enactment of the Import Ban Act, TENEX has continued to implement the TENEX Supply Contract while we pursue waivers from the DOE. However, we do not know what future actions TENEX might take in response to the new law. If TENEX refuses to make future deliveries or otherwise suspends deliveries for an extended period under the TENEX Supply Contract, our delivery obligations to our customers would be negatively impacted, including a material adverse effect on the Company.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to limitations targeted specifically at imports of LEU, the expanding sanctions imposed by the United States and foreign governments on the mechanisms used to make payments to Russia and to obtain services, including transportation and other services, have increased the risk that implementation of the TENEX Supply Contract may be disrupted in the future. If the U.S. government were to prohibit companies and individuals from engaging in transactions with Rosatom and its subsidiaries, including TENEX, the Company and its suppliers could not implement the TENEX Supply Contract absent a license or other authorization from the sanctioning government.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Given all the foregoing, we continue to monitor the situation closely in order to address the potential impact of any new sanctions or restrictions on the Company and possible mitigation thereof.</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For further discussion of these risks and uncertainties, refer to Part I, Item 1A, </w:t>
      </w:r>
      <w:r>
        <w:rPr>
          <w:rFonts w:ascii="Times New Roman;sans-serif" w:hAnsi="Times New Roman;sans-serif"/>
          <w:b w:val="false"/>
          <w:i/>
          <w:color w:val="000000"/>
          <w:sz w:val="22"/>
        </w:rPr>
        <w:t>Risk Factors</w:t>
      </w:r>
      <w:r>
        <w:rPr>
          <w:color w:val="000000"/>
        </w:rPr>
        <w:t xml:space="preserve"> </w:t>
      </w:r>
      <w:r>
        <w:rPr>
          <w:rFonts w:ascii="Times New Roman;sans-serif" w:hAnsi="Times New Roman;sans-serif"/>
          <w:b w:val="false"/>
          <w:color w:val="000000"/>
          <w:sz w:val="22"/>
        </w:rPr>
        <w:t>in our Annual Report on Form 10-K for the year ended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Operating Results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Our revenues, operating results, and cash flows can fluctuate significantly from quarter to quarter and year to year.</w:t>
      </w:r>
      <w:r>
        <w:rPr>
          <w:color w:val="000000"/>
        </w:rPr>
        <w:t xml:space="preserve"> </w:t>
      </w:r>
      <w:r>
        <w:rPr>
          <w:rFonts w:ascii="Times New Roman;sans-serif" w:hAnsi="Times New Roman;sans-serif"/>
          <w:b w:val="false"/>
          <w:color w:val="000000"/>
          <w:sz w:val="22"/>
        </w:rPr>
        <w:t xml:space="preserve">Our LEU segment backlog consists primarily of long-term, fixed commitment contracts, and we have visibility on a significant portion of our revenue for 2024-2027.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Given the current uncertainty and disruption in the market, due to, among other things, the war in Ukraine, we are no longer providing guidance on our results of operations for 2024.</w:t>
      </w:r>
      <w:r>
        <w:rPr>
          <w:color w:val="000000"/>
        </w:rPr>
        <w:t xml:space="preserve"> </w:t>
      </w:r>
      <w:r>
        <w:rPr>
          <w:rFonts w:ascii="Times New Roman;sans-serif" w:hAnsi="Times New Roman;sans-serif"/>
          <w:b w:val="false"/>
          <w:color w:val="000000"/>
          <w:sz w:val="22"/>
        </w:rPr>
        <w:t xml:space="preserve">Please see </w:t>
      </w:r>
      <w:r>
        <w:rPr>
          <w:rFonts w:ascii="Times New Roman;sans-serif" w:hAnsi="Times New Roman;sans-serif"/>
          <w:b w:val="false"/>
          <w:i/>
          <w:color w:val="000000"/>
          <w:sz w:val="22"/>
        </w:rPr>
        <w:t>Forward Looking Statements</w:t>
      </w:r>
      <w:r>
        <w:rPr>
          <w:color w:val="000000"/>
        </w:rPr>
        <w:t xml:space="preserve"> </w:t>
      </w:r>
      <w:r>
        <w:rPr>
          <w:rFonts w:ascii="Times New Roman;sans-serif" w:hAnsi="Times New Roman;sans-serif"/>
          <w:b w:val="false"/>
          <w:color w:val="000000"/>
          <w:sz w:val="22"/>
        </w:rPr>
        <w:t xml:space="preserve">at the beginning of this Quarterly Report on Form 10-Q.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future operating results are subject to uncertainties that could affect results either positively or negatively. Among the factors that could affect our results are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Armed conflicts, including the war in Ukraine, government actions and other events or third-party actions that disrupt supply chains, production, transportation, payments, and importation of nuclear materials or other critical supplies or services;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Recently enacted sanctions and the potential for additional sanctions and other measures that restrict with whom we may transact or affect the importation, sales or purchases of SWU or uranium or goods or services required for the sale, purchase, transportation or delivery of such SWU or uranium;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Our ability to obtain additional waivers to allow us to import LEU from Russia so that we may continue supplying LEU to our customers, given the enactment of the Import Ban Act in May 2024;</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The availability and terms of additional purchases or sales of SWU and uranium;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Conditions in the LEU and energy markets, including pricing, demand, operations, government restrictions on imports, exports or investments, and regulations of our business and activities and those of our customers, suppliers, contractors, and subcontractors;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Timing of customer orders, related deliveries, and purchases of LEU or LEU components;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Costs of and future funding and demand for HALEU;</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Financial market conditions and other factors that may affect pension and benefit liabilities and the value of related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The outcome of legal proceedings and other contingencies;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Potential use of cash for strategic or financial initiatives;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Actions taken by customers and suppliers, including actions that might affect existing contracts;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The U.S. government’s ability to satisfy its obligations, including supplying government furnished equipment under its agreements with the Company or processing security clearances due to a shutdown or other reasons;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Market, international trade, and other conditions impacting Centrus’ customers and the industry.</w:t>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For further discussion of these uncertainties, refer to Part I, Item 1A, </w:t>
      </w:r>
      <w:r>
        <w:rPr>
          <w:rFonts w:ascii="Times New Roman;sans-serif" w:hAnsi="Times New Roman;sans-serif"/>
          <w:b w:val="false"/>
          <w:i/>
          <w:color w:val="000000"/>
          <w:sz w:val="22"/>
        </w:rPr>
        <w:t xml:space="preserve">Risk Factors, </w:t>
      </w:r>
      <w:r>
        <w:rPr>
          <w:rFonts w:ascii="Times New Roman;sans-serif" w:hAnsi="Times New Roman;sans-serif"/>
          <w:b w:val="false"/>
          <w:color w:val="000000"/>
          <w:sz w:val="22"/>
        </w:rPr>
        <w:t xml:space="preserve">in our Annual Report on Form 10-K for the year ended December 31, 2023. </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Backlog</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backlog is $2.7 billion and $2.0 billion as of June 30, 2024 and December 31, 2023, respectively, and extends to 2040. Backlog is recognized as revenue in future periods as work is performed or deliveries of SWU and uranium are made.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backlog in the LEU segment extends to 2040. As of June 30, 2024 and December 31, 2023, our backlog is approximately $1.7 billion and $1.0 billion, respectively. The backlog is the estimated aggregate dollar amount of revenue for future SWU and uranium deliveries primarily under medium and long-term contracts with fixed commitments, and includes approximately $0.3 billion of deferred revenue and advances from customers as of June 30, 2024, whereby customers have made advance payments to be applied against future deliveries. No orders in our backlog are considered at risk related to customer operations. However, these medium and long-term contracts are subject to significant risks and uncertainties, including existing import laws and restrictions such as the RSA, which limits imports of Russian uranium products into the United States and applies to our sales using material procured under the TENEX Supply Contract, as well as the potential for additional sanctions and other restrictions affecting the Company or its suppliers, in response to the evolving situation regarding the war in Ukraine.</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backlog in the Technical Solutions segment extends to 2033. As of both June 30, 2024 and December 31, 2023, our backlog is approximately $1.0 billion. Our backlog includes both funded amounts (services for which funding has been both authorized and appropriated by the customer), unfunded amounts (services for which funding has not been appropriated), and unexercised options. If any of our contracts were to be terminated, our remaining backlog would be reduced by the expected value of the cancelled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Revenue</w:t>
      </w:r>
    </w:p>
    <w:p>
      <w:pPr>
        <w:pStyle w:val="TextBody"/>
        <w:bidi w:val="0"/>
        <w:spacing w:before="0" w:after="0"/>
        <w:jc w:val="left"/>
        <w:rPr/>
      </w:pPr>
      <w:r>
        <w:rPr/>
      </w:r>
    </w:p>
    <w:p>
      <w:pPr>
        <w:pStyle w:val="TextBody"/>
        <w:bidi w:val="0"/>
        <w:spacing w:lineRule="auto" w:line="288" w:before="0" w:after="18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two reportable segments: the LEU segment and the Technical Solutions segment. </w:t>
      </w:r>
    </w:p>
    <w:p>
      <w:pPr>
        <w:pStyle w:val="TextBody"/>
        <w:bidi w:val="0"/>
        <w:spacing w:lineRule="auto" w:line="288" w:before="0" w:after="18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from our LEU segment is derived primarily from the following: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sales of the SWU component of LEU,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sales of natural uranium hexafluoride, uranium concentrates or uranium conversion,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sales of enriched uranium product that include both the natural uranium hexafluoride and SWU components of LEU.</w:t>
      </w:r>
    </w:p>
    <w:p>
      <w:pPr>
        <w:pStyle w:val="TextBody"/>
        <w:bidi w:val="0"/>
        <w:spacing w:before="0" w:after="0"/>
        <w:jc w:val="both"/>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Technical Solutions segment reflects our technical, manufacturing, engineering, and operations services offered to public and private sector customers, including engineering and testing activities as well as technical and resource support currently being performed by the Company. This includes the HALEU Operation Contract and other contracts with public and private sector customers.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SWU and Uranium Sales</w:t>
      </w:r>
    </w:p>
    <w:p>
      <w:pPr>
        <w:pStyle w:val="TextBody"/>
        <w:bidi w:val="0"/>
        <w:spacing w:before="0" w:after="0"/>
        <w:jc w:val="both"/>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from our LEU segment accounted for approximately 90% and 83% of our total revenue for the three and six months ended June 30, 2024, respectively. The majority of our customers are domestic and international utilities that operate nuclear power plants, with international sales constituting approximately 41% of revenue from our LEU segment since 2022. Our agreements with electric utilities are primarily medium and long-term fixed-commitment contracts under which our customers are obligated to purchase a specified quantity of the SWU component of LEU from us. Contracts where we sell both the SWU and natural uranium hexafluoride components of LEU to utilities or where we sell natural uranium hexafluoride to utilities and other nuclear fuel related companies are generally shorter-term, fixed-commitment contracts. Individual customer orders for the SWU component of LEU fulfilled in the six months ended June 30, 2024 averaged approximately $7.7 million per order. As a result, a relatively small shift in the timing of customer orders for LEU may cause significant variability in our operating results period over period.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Utility customers, in general, have the option to make payment but defer receipt of SWU and uranium products purchased from Centrus beyond the contractual sale period, resulting in the deferral of revenue recognition and related costs. Refer to Note 2,</w:t>
      </w:r>
      <w:r>
        <w:rPr>
          <w:color w:val="000000"/>
        </w:rPr>
        <w:t xml:space="preserve"> </w:t>
      </w:r>
      <w:r>
        <w:rPr>
          <w:rFonts w:ascii="Times New Roman;sans-serif" w:hAnsi="Times New Roman;sans-serif"/>
          <w:b w:val="false"/>
          <w:i/>
          <w:color w:val="000000"/>
          <w:sz w:val="22"/>
        </w:rPr>
        <w:t>Revenue and Contracts with Customers,</w:t>
      </w:r>
      <w:r>
        <w:rPr>
          <w:color w:val="000000"/>
        </w:rPr>
        <w:t xml:space="preserve"> </w:t>
      </w:r>
      <w:r>
        <w:rPr>
          <w:rFonts w:ascii="Times New Roman;sans-serif" w:hAnsi="Times New Roman;sans-serif"/>
          <w:b w:val="false"/>
          <w:color w:val="000000"/>
          <w:sz w:val="22"/>
        </w:rPr>
        <w:t>of the Consolidated Financial Statements for further details.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Our financial performance over time can be affected significantly by changes in prices for SWU and natural uranium hexafluoride. Market prices for SWU and uranium significantly declined from 2011 until mid-2018, when they began to trend upward. More recently, market uncertainty in the wake of the war in Ukraine has driven SWU and natural uranium hexafluoride prices sharply higher.</w:t>
      </w:r>
      <w:r>
        <w:rPr>
          <w:color w:val="000000"/>
        </w:rPr>
        <w:t xml:space="preserve"> </w:t>
      </w:r>
      <w:r>
        <w:rPr>
          <w:rFonts w:ascii="Times New Roman;sans-serif" w:hAnsi="Times New Roman;sans-serif"/>
          <w:b w:val="false"/>
          <w:color w:val="000000"/>
          <w:sz w:val="22"/>
        </w:rPr>
        <w:t>Since our backlog includes contracts awarded to us in previous years, the average SWU price billed to customers typically lags published price indicators by several years. While some sales reflect the low prices prevalent in recent years, certain older contracts included in our backlog have prices that are above current market prices.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newly enacted Import Ban Act, which bans the importation of LEU from Russia, may severely limit importation through 2027 and will cut off supply of LEU from Russia after 2027. This has drawn attention to the potential for significant tightening of supplies in the market.</w:t>
      </w:r>
      <w:r>
        <w:rPr>
          <w:color w:val="000000"/>
        </w:rPr>
        <w:t xml:space="preserve"> </w:t>
      </w:r>
      <w:r>
        <w:rPr>
          <w:rFonts w:ascii="Times New Roman;sans-serif" w:hAnsi="Times New Roman;sans-serif"/>
          <w:b w:val="false"/>
          <w:color w:val="000000"/>
          <w:sz w:val="22"/>
        </w:rPr>
        <w:t>Russian enrichment plants represent 44% of the world’s capacity, and Russian capacity significantly exceeds its domestic needs. According to data from the WNA, the annual enrichment requirements of reactors worldwide outside of Russia vastly exceeds the available supply of non-Russian enrichment, which potentially threatens the viability of some reactors, including those in the United States.</w:t>
      </w:r>
      <w:r>
        <w:rPr>
          <w:color w:val="000000"/>
        </w:rPr>
        <w:t xml:space="preserve"> </w:t>
      </w:r>
      <w:r>
        <w:rPr>
          <w:rFonts w:ascii="Times New Roman;sans-serif" w:hAnsi="Times New Roman;sans-serif"/>
          <w:b w:val="false"/>
          <w:color w:val="000000"/>
          <w:sz w:val="22"/>
        </w:rPr>
        <w:t>While inventories and increased production at non-Russian plants may partially mitigate the shortfall, these options would not fully replace Russian supply. Deployment of new capacity ultimately could replace Russian enrichment, but this capacity will take a number of years and significant funding from private and/or government sources to come online. Centrus is seeking public and private funding to deploy new production capacity at its Piketon, Ohio, plant to help meet the need for new, domestic supplies of enriched uranium.</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following chart summarizes SWU long-term price and SWU and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 xml:space="preserve">spot price indicators, as published by TradeTech, LLC in </w:t>
      </w:r>
      <w:r>
        <w:rPr>
          <w:rFonts w:ascii="Times New Roman;sans-serif" w:hAnsi="Times New Roman;sans-serif"/>
          <w:b w:val="false"/>
          <w:i/>
          <w:color w:val="000000"/>
          <w:sz w:val="22"/>
        </w:rPr>
        <w:t>Nuclear Market Review</w:t>
      </w:r>
      <w:r>
        <w:rPr>
          <w:rFonts w:ascii="Times New Roman;sans-serif" w:hAnsi="Times New Roman;sans-serif"/>
          <w:b w:val="false"/>
          <w:color w:val="000000"/>
          <w:sz w:val="22"/>
        </w:rPr>
        <w:t>:</w:t>
      </w:r>
    </w:p>
    <w:p>
      <w:pPr>
        <w:pStyle w:val="TextBody"/>
        <w:bidi w:val="0"/>
        <w:spacing w:before="0" w:after="180"/>
        <w:ind w:left="0" w:right="0" w:firstLine="27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SWU and Uranium Market Price Indicators*</w:t>
      </w:r>
    </w:p>
    <w:p>
      <w:pPr>
        <w:pStyle w:val="TextBody"/>
        <w:bidi w:val="0"/>
        <w:spacing w:before="0" w:after="0"/>
        <w:jc w:val="center"/>
        <w:rPr/>
      </w:pPr>
      <w:r>
        <w:rPr/>
      </w:r>
    </w:p>
    <w:p>
      <w:pPr>
        <w:pStyle w:val="TextBody"/>
        <w:bidi w:val="0"/>
        <w:spacing w:before="0" w:after="0"/>
        <w:jc w:val="center"/>
        <w:rPr/>
      </w:pPr>
      <w:r>
        <w:rPr/>
        <w:drawing>
          <wp:inline distT="0" distB="0" distL="0" distR="0">
            <wp:extent cx="6191250" cy="4286250"/>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3"/>
                    <a:stretch>
                      <a:fillRect/>
                    </a:stretch>
                  </pic:blipFill>
                  <pic:spPr bwMode="auto">
                    <a:xfrm>
                      <a:off x="0" y="0"/>
                      <a:ext cx="6191250" cy="4286250"/>
                    </a:xfrm>
                    <a:prstGeom prst="rect">
                      <a:avLst/>
                    </a:prstGeom>
                  </pic:spPr>
                </pic:pic>
              </a:graphicData>
            </a:graphic>
          </wp:inline>
        </w:drawing>
      </w:r>
    </w:p>
    <w:p>
      <w:pPr>
        <w:pStyle w:val="TextBody"/>
        <w:bidi w:val="0"/>
        <w:spacing w:lineRule="auto" w:line="288" w:before="0" w:after="0"/>
        <w:ind w:left="0" w:right="0" w:firstLine="270"/>
        <w:jc w:val="left"/>
        <w:rPr/>
      </w:pPr>
      <w:r>
        <w:rPr>
          <w:color w:val="000000"/>
        </w:rPr>
        <w:t>        </w:t>
      </w:r>
      <w:r>
        <w:rPr>
          <w:rFonts w:ascii="Times New Roman;sans-serif" w:hAnsi="Times New Roman;sans-serif"/>
          <w:b w:val="false"/>
          <w:color w:val="000000"/>
          <w:sz w:val="20"/>
        </w:rPr>
        <w:t xml:space="preserve">* Source: </w:t>
      </w:r>
      <w:r>
        <w:rPr>
          <w:rFonts w:ascii="Times New Roman;sans-serif" w:hAnsi="Times New Roman;sans-serif"/>
          <w:b w:val="false"/>
          <w:i/>
          <w:color w:val="000000"/>
          <w:sz w:val="20"/>
        </w:rPr>
        <w:t>Nuclear Market Review</w:t>
      </w:r>
      <w:r>
        <w:rPr>
          <w:rFonts w:ascii="Times New Roman;sans-serif" w:hAnsi="Times New Roman;sans-serif"/>
          <w:b w:val="false"/>
          <w:color w:val="000000"/>
          <w:sz w:val="20"/>
        </w:rPr>
        <w:t>, a TradeTech publication, www.uranium.info</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contracts with customers are denominated primarily in U.S. dollars, and, although revenue has not been materially affected by changes in the foreign exchange rate of the U.S. dollar, we may have a competitive price advantage or disadvantage in obtaining new contracts in a competitive bidding process depending upon the weakness or strength of the U.S. dollar. Under a customer contract that commenced deliveries in 2023, payments are denominated in euros, and subject to exchange rate risk. Costs of our primary competitors are denominated in other currencies. Our contracts with suppliers are primarily denominated in U.S. dollars. We have a SWU supply agreement, that commenced in 2023, with prices payable in a combination of U.S. dollars and euros but with a contract-defined exchange rate.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occasion, we accept payment for SWU in the form of natural uranium hexafluoride. Revenue from the sale of SWU under such contracts is recognized at the time LEU is delivered and is based on the fair value of the natural uranium hexafluoride at contract inception, or as the quantity of natural uranium hexafluoride is finalized, if variable.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Cost of sales for SWU and uranium is based on the amount of SWU and uranium hexafluoride sold and delivered during the period and unit inventory costs, which are determined using the average cost method. Changes in purchase costs have an effect on inventory costs and cost of sales. Cost of sales includes costs for inventory management at off-site licensed locations, as well as, certain legacy costs related to former employees of the Portsmouth GDP and Paducah GDP. </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Technical Solutions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Technical Solutions segment reflects our technical, manufacturing, engineering, and operations services offered to public and private sector customers, including the American Centrifuge engineering, procurement, construction, manufacturing, and operations services being performed under the HALEU Operation Contract. Subject to the availability of sufficient funding and off-take commitments, our goal is to expand our uranium enrichment capacity to meet the full range of U.S. government and commercial requirements for enriched uranium. With our government and private sector customers, we seek to leverage our domestic enrichment experience as well as our engineering know-how and precision manufacturing facility to assist customers with a range of engineering, design, and advanced manufacturing projects, including the production of fuel-related components for next-generation nuclear reactors and the development of related facilities. We continue to invest in advanced technology because of the potential for future growth into new areas of business for the Company, while also preserving our unique workforce at our Technology and Manufacturing Center in Oak Ridge, Tennessee, and our production facility near Piketon, Ohio. </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Segment Information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tables present elements of the accompanying Consolidated Statements of Operations and Comprehensive Income that are categorized by segment (dollar amounts in millions):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Three Months Ended June 30, 2024 Compared with Three Months Ended June 30, 2023</w:t>
      </w:r>
    </w:p>
    <w:p>
      <w:pPr>
        <w:pStyle w:val="TextBody"/>
        <w:bidi w:val="0"/>
        <w:spacing w:before="0" w:after="0"/>
        <w:ind w:left="0" w:right="0" w:firstLine="270"/>
        <w:jc w:val="left"/>
        <w:rPr/>
      </w:pPr>
      <w:r>
        <w:rPr/>
      </w:r>
    </w:p>
    <w:tbl>
      <w:tblPr>
        <w:tblW w:w="7264" w:type="dxa"/>
        <w:jc w:val="center"/>
        <w:tblInd w:w="0" w:type="dxa"/>
        <w:tblLayout w:type="fixed"/>
        <w:tblCellMar>
          <w:top w:w="28" w:type="dxa"/>
          <w:left w:w="28" w:type="dxa"/>
          <w:bottom w:w="28" w:type="dxa"/>
          <w:right w:w="28" w:type="dxa"/>
        </w:tblCellMar>
      </w:tblPr>
      <w:tblGrid>
        <w:gridCol w:w="914"/>
        <w:gridCol w:w="802"/>
        <w:gridCol w:w="804"/>
        <w:gridCol w:w="211"/>
        <w:gridCol w:w="616"/>
        <w:gridCol w:w="109"/>
        <w:gridCol w:w="109"/>
        <w:gridCol w:w="109"/>
        <w:gridCol w:w="109"/>
        <w:gridCol w:w="211"/>
        <w:gridCol w:w="526"/>
        <w:gridCol w:w="109"/>
        <w:gridCol w:w="109"/>
        <w:gridCol w:w="109"/>
        <w:gridCol w:w="109"/>
        <w:gridCol w:w="228"/>
        <w:gridCol w:w="554"/>
        <w:gridCol w:w="119"/>
        <w:gridCol w:w="109"/>
        <w:gridCol w:w="109"/>
        <w:gridCol w:w="109"/>
        <w:gridCol w:w="233"/>
        <w:gridCol w:w="233"/>
        <w:gridCol w:w="614"/>
      </w:tblGrid>
      <w:tr>
        <w:trPr/>
        <w:tc>
          <w:tcPr>
            <w:tcW w:w="91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LEU segment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SWU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Uranium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6.2</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Technical Solutions segment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8.5</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2"/>
        </w:rPr>
      </w:pPr>
      <w:r>
        <w:rPr>
          <w:rFonts w:ascii="Times New Roman;sans-serif" w:hAnsi="Times New Roman;sans-serif"/>
          <w:b w:val="false"/>
          <w:i/>
          <w:color w:val="000000"/>
          <w:sz w:val="22"/>
        </w:rPr>
        <w:t>Revenue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from the LEU segment was $169.6 million and $87.6 million for the three months ended June 30, 2024 and 2023, respectively, an increase of $82.0 million (or 94%). SWU revenue increased by $91.6 million as a result of a 147% increase in the volume of SWU sold and an 18% increase in the average price of SWU sold. Uranium revenue decreased by $9.6 million as a result of a 40% decrease in the volume of uranium sold, partially offset by a 26% increase in the average price of uranium sold.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from the Technical Solutions segment was $19.4 million and $10.8 million for the three months ended June 30, 2024 and 2023, respectively, an increase of $8.6 million (or 80%). Revenue generated by the HALEU Operation Contract increased by $8.4 million due to the transition from Phase 1 to Phase 2 in late 2023. The remaining increase was attributable to other contracts.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Cost of Sales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Cost of sales for the LEU segment was $136.6 million and $60.8 million for the three months ended June 30, 2024 and 2023, respectively, an increase of $75.8 million (or 125%). SWU costs increased as a result of a 70% increase in the average unit cost of SWU sold and a 147% increase in the volume of SWU sold. Uranium costs decreased as a result of a 40% decrease in the volume of uranium sold, partially offset by a 27% increase in the average unit cost of uranium sold. Cost of sales for the three months ended June 30, 2024 and 2023, respectively, included $1.5 million and $0.8 million for the revaluation of inventory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Cost of sales for the Technical Solutions segment was $15.9 million and $9.6 million for the three months ended June 30, 2024 and 2023, respectively, an increase of $6.3 million (or 66%). Costs incurred for the HALEU Operation Contract increased by $6.3 million due to the transition from Phase 1 to Phase 2 in late 2023. For details on HALEU Operation Contract accounting, refer to </w:t>
      </w:r>
      <w:r>
        <w:rPr>
          <w:rFonts w:ascii="Times New Roman;sans-serif" w:hAnsi="Times New Roman;sans-serif"/>
          <w:b w:val="false"/>
          <w:i/>
          <w:color w:val="000000"/>
          <w:sz w:val="22"/>
        </w:rPr>
        <w:t>Technical Solutions Segment</w:t>
      </w:r>
      <w:r>
        <w:rPr>
          <w:color w:val="000000"/>
        </w:rPr>
        <w:t xml:space="preserve"> </w:t>
      </w:r>
      <w:r>
        <w:rPr>
          <w:rFonts w:ascii="Times New Roman;sans-serif" w:hAnsi="Times New Roman;sans-serif"/>
          <w:b w:val="false"/>
          <w:color w:val="000000"/>
          <w:sz w:val="22"/>
        </w:rPr>
        <w:t>above.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Gross Profit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Gross profit for the LEU segment was $33.0 million and $26.8 million for the three months ended June 30, 2024 and 2023, respectively, an increase of $6.2 million (or 23%). The increase for the three months ended June 30, 2024 was due primarily to the specific contract and pricing mix of SWU contracts and the timing of their deliveries quarter over quarter. This was reflected by an increase in the volume of SWU sold, partially offset by a decrease in the average profit margin per SWU.</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Gross profit for the Technical Solutions segment was $3.5 million and $1.2 million for the three months ended June 30, 2024 and 2023, respectively, an increase of $2.3 million (or 192%). The increase was primarily attributable to the transition from Phase 1 to Phase 2 of the HALEU Operation Contract in late 2023.</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ans-serif" w:hAnsi="Times New Roman;sans-serif"/>
          <w:b/>
          <w:i/>
          <w:color w:val="000000"/>
          <w:sz w:val="22"/>
        </w:rPr>
      </w:pPr>
      <w:r>
        <w:rPr>
          <w:rFonts w:ascii="Times New Roman;sans-serif" w:hAnsi="Times New Roman;sans-serif"/>
          <w:b/>
          <w:i/>
          <w:color w:val="000000"/>
          <w:sz w:val="22"/>
        </w:rPr>
        <w:t>Six Months Ended June 30, 2024 Compared with Six Months Ended June 30, 2023</w:t>
      </w:r>
    </w:p>
    <w:p>
      <w:pPr>
        <w:pStyle w:val="TextBody"/>
        <w:bidi w:val="0"/>
        <w:spacing w:before="0" w:after="0"/>
        <w:jc w:val="both"/>
        <w:rPr/>
      </w:pPr>
      <w:r>
        <w:rPr/>
      </w:r>
    </w:p>
    <w:tbl>
      <w:tblPr>
        <w:tblW w:w="7509" w:type="dxa"/>
        <w:jc w:val="left"/>
        <w:tblInd w:w="0" w:type="dxa"/>
        <w:tblLayout w:type="fixed"/>
        <w:tblCellMar>
          <w:top w:w="28" w:type="dxa"/>
          <w:left w:w="28" w:type="dxa"/>
          <w:bottom w:w="28" w:type="dxa"/>
          <w:right w:w="28" w:type="dxa"/>
        </w:tblCellMar>
      </w:tblPr>
      <w:tblGrid>
        <w:gridCol w:w="914"/>
        <w:gridCol w:w="802"/>
        <w:gridCol w:w="804"/>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308"/>
        <w:gridCol w:w="308"/>
        <w:gridCol w:w="614"/>
      </w:tblGrid>
      <w:tr>
        <w:trPr/>
        <w:tc>
          <w:tcPr>
            <w:tcW w:w="91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LEU segment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SWU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Uranium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Technical Solutions segment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2"/>
        </w:rPr>
      </w:pPr>
      <w:r>
        <w:rPr>
          <w:rFonts w:ascii="Times New Roman;sans-serif" w:hAnsi="Times New Roman;sans-serif"/>
          <w:b w:val="false"/>
          <w:i/>
          <w:color w:val="000000"/>
          <w:sz w:val="22"/>
        </w:rPr>
        <w:t>Revenue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from the LEU segment was $193.2 million and $146.4 million for the six months ended June 30, 2024 and 2023, respectively, an increase of $46.8 million (or 32%). SWU revenue increased by $56.4 million as a result of a 34% increase in the volume of SWU sold and a 15% increase in the average price of SWU sold. Uranium revenue decreased by $9.6 million as a result of a 40% decrease in the volume of uranium sold, partially offset by a 26% increase in the average price of uranium sold.</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from the Technical Solutions segment was $39.5 million and $18.9 million for the six months ended June 30, 2024 and 2023, respectively, an increase of $20.6 million (or 109%). Revenue generated by the HALEU Operation Contract increased by $20.4 million due to the transition from Phase 1 to Phase 2 in late 2023. The remaining increase was attributable to other contracts.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Cost of Sales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Cost of sales for the LEU segment was $159.7 million and $95.7 million for the six months ended June 30, 2024 and 2023, respectively, an increase of $64.0 million (or 67%). SWU costs increased as a result of a 63% increase in the average unit cost of SWU sold and a 34% increase in the volume of SWU sold. Uranium costs decreased as a result of a 40% decrease in the volume of uranium sold, partially offset by a 30% increase in the average unit cost of uranium sold. Cost of sales for the six months ended June 30, 2024 and 2023, included $1.8 million and $2.9 million, respectively, for the revaluation of inventory loans.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Cost of sales for the Technical Solutions segment was $32.2 million and $18.6 million for the six months ended June 30, 2024 and 2023, respectively, an increase of $13.6 million (or 73%). Costs incurred for the HALEU Operation Contract increased by $13.0 million due to the transition from Phase 1 to Phase 2 in late 2023. For details on HALEU Operation Contract accounting, refer to </w:t>
      </w:r>
      <w:r>
        <w:rPr>
          <w:rFonts w:ascii="Times New Roman;sans-serif" w:hAnsi="Times New Roman;sans-serif"/>
          <w:b w:val="false"/>
          <w:i/>
          <w:color w:val="000000"/>
          <w:sz w:val="22"/>
        </w:rPr>
        <w:t xml:space="preserve">Technical Solutions Segment </w:t>
      </w:r>
      <w:r>
        <w:rPr>
          <w:rFonts w:ascii="Times New Roman;sans-serif" w:hAnsi="Times New Roman;sans-serif"/>
          <w:b w:val="false"/>
          <w:color w:val="000000"/>
          <w:sz w:val="22"/>
        </w:rPr>
        <w:t>above. The remaining increase was attributable to costs incurred under other contracts.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Gross Profit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Gross profit for the LEU segment was $33.5 million and $50.7 million for the six months ended June 30, 2024 and 2023, respectively, a decrease of $17.2 million (or 34%). The decrease for the six months ended June 30, 2024 was due primarily to the decrease in margin on SWU sales due to the specific contract and pricing mix of SWU contracts and the timing of their deliveries period over period. This was reflected by a decrease in the average profit margin per SWU, partially offset by an increase in the volume of SWU sold.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Gross profit for the Technical Solutions segment was $7.3 million and $0.3 million for the six months ended June 30, 2024 and 2023, respectively, an increase of $7.0 million (or 2,333%). The increase was primarily attributable to the transition from Phase 1 to Phase 2 of the HALEU Operation Contract in late 2023.</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Non-Segment Information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tables present elements of the accompanying Consolidated Statements of Operations and Comprehensive Income that are not categorized by segment (dollar amounts in millions):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Three Months Ended June 30, 2024 Compared with Three Months Ended June 30, 2023</w:t>
      </w:r>
    </w:p>
    <w:p>
      <w:pPr>
        <w:pStyle w:val="TextBody"/>
        <w:bidi w:val="0"/>
        <w:spacing w:before="0" w:after="0"/>
        <w:ind w:left="0" w:right="0" w:firstLine="270"/>
        <w:jc w:val="left"/>
        <w:rPr/>
      </w:pPr>
      <w:r>
        <w:rPr/>
      </w:r>
    </w:p>
    <w:tbl>
      <w:tblPr>
        <w:tblW w:w="10127" w:type="dxa"/>
        <w:jc w:val="center"/>
        <w:tblInd w:w="0" w:type="dxa"/>
        <w:tblLayout w:type="fixed"/>
        <w:tblCellMar>
          <w:top w:w="28" w:type="dxa"/>
          <w:left w:w="28" w:type="dxa"/>
          <w:bottom w:w="28" w:type="dxa"/>
          <w:right w:w="28" w:type="dxa"/>
        </w:tblCellMar>
      </w:tblPr>
      <w:tblGrid>
        <w:gridCol w:w="1906"/>
        <w:gridCol w:w="1661"/>
        <w:gridCol w:w="1682"/>
        <w:gridCol w:w="211"/>
        <w:gridCol w:w="526"/>
        <w:gridCol w:w="109"/>
        <w:gridCol w:w="109"/>
        <w:gridCol w:w="109"/>
        <w:gridCol w:w="109"/>
        <w:gridCol w:w="211"/>
        <w:gridCol w:w="526"/>
        <w:gridCol w:w="109"/>
        <w:gridCol w:w="109"/>
        <w:gridCol w:w="109"/>
        <w:gridCol w:w="109"/>
        <w:gridCol w:w="224"/>
        <w:gridCol w:w="560"/>
        <w:gridCol w:w="117"/>
        <w:gridCol w:w="109"/>
        <w:gridCol w:w="109"/>
        <w:gridCol w:w="109"/>
        <w:gridCol w:w="344"/>
        <w:gridCol w:w="346"/>
        <w:gridCol w:w="614"/>
      </w:tblGrid>
      <w:tr>
        <w:trPr/>
        <w:tc>
          <w:tcPr>
            <w:tcW w:w="1906"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Advanced technology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 assets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Nonoperating components of net periodic benefit loss (income)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(4,175)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 income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Income tax expense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 and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17.9</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ind w:left="0" w:right="0" w:firstLine="270"/>
        <w:jc w:val="center"/>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Amortization of Intangible Assets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Amortization of intangible assets was $3.7 million and $1.7 million for the three months ended June 30, 2024 and 2023, respectively, an increase of $2.0 million (or 118%). Amortization expense for the intangible asset related to the September 2014 sales backlog is a function of SWU sales volume under that backlog, and amortization expense for the intangible asset related to customer relationships is amortized on a straight-line basis.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Nonoperating Components of Net Periodic Benefit Loss (Income)</w:t>
      </w:r>
    </w:p>
    <w:p>
      <w:pPr>
        <w:pStyle w:val="TextBody"/>
        <w:bidi w:val="0"/>
        <w:spacing w:before="0" w:after="0"/>
        <w:jc w:val="both"/>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Nonoperating components of net periodic benefit loss (income) netted to income of $16.3 million and a loss of $0.4 million for the three months ended June 30, 2024 and 2023, respectively, a change of $16.7 million (or 4,175%). The change is primarily due to the $16.6 million remeasurement gain driven by the partial annuitization of two pension plans in May 2024. The remaining change is primarily related to the expected return on plan assets, partially offset by interest cost as the discounted present value of benefit obligations nears payment, as described in Note 8, </w:t>
      </w:r>
      <w:r>
        <w:rPr>
          <w:rFonts w:ascii="Times New Roman;sans-serif" w:hAnsi="Times New Roman;sans-serif"/>
          <w:b w:val="false"/>
          <w:i/>
          <w:color w:val="000000"/>
          <w:sz w:val="22"/>
        </w:rPr>
        <w:t>Pension and Postretirement Health and Life Benefits</w:t>
      </w:r>
      <w:r>
        <w:rPr>
          <w:color w:val="000000"/>
        </w:rPr>
        <w:t xml:space="preserve"> </w:t>
      </w:r>
      <w:r>
        <w:rPr>
          <w:rFonts w:ascii="Times New Roman;sans-serif" w:hAnsi="Times New Roman;sans-serif"/>
          <w:b w:val="false"/>
          <w:color w:val="000000"/>
          <w:sz w:val="22"/>
        </w:rPr>
        <w:t>of the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Income Tax Expense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Income tax expense was $8.9 million and $3.3 million for the three months ended June 30, 2024 and 2023, respectively, an increase of $5.6 million (or 170%). Income tax expense for both periods resulted from applying the annual effective tax rate to the quarterly income from continuing operations adjusted for discrete items. For more information about the valuation allowance, see Note 14, </w:t>
      </w:r>
      <w:r>
        <w:rPr>
          <w:rFonts w:ascii="Times New Roman;sans-serif" w:hAnsi="Times New Roman;sans-serif"/>
          <w:b w:val="false"/>
          <w:i/>
          <w:color w:val="000000"/>
          <w:sz w:val="22"/>
        </w:rPr>
        <w:t>Income Taxes</w:t>
      </w:r>
      <w:r>
        <w:rPr>
          <w:rFonts w:ascii="Times New Roman;sans-serif" w:hAnsi="Times New Roman;sans-serif"/>
          <w:b w:val="false"/>
          <w:color w:val="000000"/>
          <w:sz w:val="22"/>
        </w:rPr>
        <w:t>, in our Consolidated Financial Statements on our Annual Report on Form 10-K for the year ended December 31, 2023.</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2"/>
        </w:rPr>
      </w:pPr>
      <w:r>
        <w:rPr>
          <w:rFonts w:ascii="Times New Roman;sans-serif" w:hAnsi="Times New Roman;sans-serif"/>
          <w:b w:val="false"/>
          <w:i/>
          <w:color w:val="000000"/>
          <w:sz w:val="22"/>
        </w:rPr>
        <w:t>Net Income and Comprehensive Income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was $30.6 million and $12.7 million for the three months ended June 30, 2024 and 2023, respectively, an increase of $17.9 million (or 141%). The increase of $17.9 million was primarily attributable to an increase of $16.7 million in nonoperating components of net periodic benefit income and an increase of $6.2 million and $2.3 million in gross profit from the LEU segment and the Technical Solutions segment, respectively, partially offset by an increase of $5.6 million in income tax expense and an increase of $2.0 million in amortization of intangible assets.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ans-serif" w:hAnsi="Times New Roman;sans-serif"/>
          <w:b/>
          <w:i/>
          <w:color w:val="000000"/>
          <w:sz w:val="22"/>
        </w:rPr>
      </w:pPr>
      <w:r>
        <w:rPr>
          <w:rFonts w:ascii="Times New Roman;sans-serif" w:hAnsi="Times New Roman;sans-serif"/>
          <w:b/>
          <w:i/>
          <w:color w:val="000000"/>
          <w:sz w:val="22"/>
        </w:rPr>
        <w:t>Six Months Ended June 30, 2024 Compared with Six Months Ended June 30, 2023</w:t>
      </w:r>
    </w:p>
    <w:p>
      <w:pPr>
        <w:pStyle w:val="TextBody"/>
        <w:bidi w:val="0"/>
        <w:spacing w:before="0" w:after="0"/>
        <w:ind w:left="0" w:right="0" w:firstLine="270"/>
        <w:jc w:val="both"/>
        <w:rPr/>
      </w:pPr>
      <w:r>
        <w:rPr/>
      </w:r>
    </w:p>
    <w:tbl>
      <w:tblPr>
        <w:tblW w:w="10132" w:type="dxa"/>
        <w:jc w:val="left"/>
        <w:tblInd w:w="0" w:type="dxa"/>
        <w:tblLayout w:type="fixed"/>
        <w:tblCellMar>
          <w:top w:w="28" w:type="dxa"/>
          <w:left w:w="28" w:type="dxa"/>
          <w:bottom w:w="28" w:type="dxa"/>
          <w:right w:w="28" w:type="dxa"/>
        </w:tblCellMar>
      </w:tblPr>
      <w:tblGrid>
        <w:gridCol w:w="1906"/>
        <w:gridCol w:w="1661"/>
        <w:gridCol w:w="1682"/>
        <w:gridCol w:w="211"/>
        <w:gridCol w:w="526"/>
        <w:gridCol w:w="109"/>
        <w:gridCol w:w="109"/>
        <w:gridCol w:w="109"/>
        <w:gridCol w:w="109"/>
        <w:gridCol w:w="211"/>
        <w:gridCol w:w="526"/>
        <w:gridCol w:w="109"/>
        <w:gridCol w:w="109"/>
        <w:gridCol w:w="109"/>
        <w:gridCol w:w="109"/>
        <w:gridCol w:w="211"/>
        <w:gridCol w:w="586"/>
        <w:gridCol w:w="109"/>
        <w:gridCol w:w="109"/>
        <w:gridCol w:w="109"/>
        <w:gridCol w:w="109"/>
        <w:gridCol w:w="344"/>
        <w:gridCol w:w="346"/>
        <w:gridCol w:w="614"/>
      </w:tblGrid>
      <w:tr>
        <w:trPr/>
        <w:tc>
          <w:tcPr>
            <w:tcW w:w="1906"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Advanced technology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 assets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Special charges for workforce reductions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Nonoperating components of net periodic benefit loss (income)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 income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n/a</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Income tax expense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 and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Advanced Technology Costs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Advanced technology costs were $9.8 million and $7.5 million for the six months ended June 30, 2024 and 2023, respectively, an increase of $2.3 million (or 31%). Advanced technology costs consist of American Centrifuge work and related expenses that are outside of our customer contracts in the Technical Solutions segment, including bid and proposal activities and work to improve our centrifuge technology.</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Selling, General and Administrative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Selling, general and administrative costs were $15.7 million and $18.1 million for the six months ended June 30, 2024 and 2023, respectively, a decrease of $2.4 million (or 13%). This decrease was due primarily to a decrease in employee-related expenses, including equity related compensation.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Amortization of Intangible Assets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Amortization of intangible assets was $4.8 million and $2.8 million in the six months ended June 30, 2024 and 2023, respectively, an increase of $2.0 million (or 71%). Amortization expense for the intangible asset related to the September 2014 backlog is a function of SWU sales volume under that backlog, and amortization expense for the intangible asset related to customer relationships is amortized on a straight-line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Nonoperating Components of Net Periodic Benefit Loss (Income)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Nonoperating components of net periodic benefit loss (income) netted to income of $16.2 million and a loss of $0.7 million for the six months ended June 30, 2024 and 2023, respectively, a change of $16.9 million (or 2,414%). The change is primarily due to the $16.6 million remeasurement gain driven by the partial annuitization of two pension plans in May 2024. The remaining change is primarily related to the expected return on plan assets, partially offset by interest cost as the discounted present value of benefit obligations nears payment, as described in Note 8, </w:t>
      </w:r>
      <w:r>
        <w:rPr>
          <w:rFonts w:ascii="Times New Roman;sans-serif" w:hAnsi="Times New Roman;sans-serif"/>
          <w:b w:val="false"/>
          <w:i/>
          <w:color w:val="000000"/>
          <w:sz w:val="22"/>
        </w:rPr>
        <w:t>Pension and Postretirement Health and Life Benefits</w:t>
      </w:r>
      <w:r>
        <w:rPr>
          <w:color w:val="000000"/>
        </w:rPr>
        <w:t xml:space="preserve"> </w:t>
      </w:r>
      <w:r>
        <w:rPr>
          <w:rFonts w:ascii="Times New Roman;sans-serif" w:hAnsi="Times New Roman;sans-serif"/>
          <w:b w:val="false"/>
          <w:color w:val="000000"/>
          <w:sz w:val="22"/>
        </w:rPr>
        <w:t>of the Consolidated Financial Statements.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Income Tax Expense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Income tax expense was $6.6 million and $5.7 million in the six months ended June 30, 2024 and 2023, respectively, a decrease of $0.9 million (or 16%). Income tax expense for both periods resulted from applying the annual effective tax rate to the quarterly income from continuing operations adjusted for discrete items. For more information about the valuation allowance, see Note 14, </w:t>
      </w:r>
      <w:r>
        <w:rPr>
          <w:rFonts w:ascii="Times New Roman;sans-serif" w:hAnsi="Times New Roman;sans-serif"/>
          <w:b w:val="false"/>
          <w:i/>
          <w:color w:val="000000"/>
          <w:sz w:val="22"/>
        </w:rPr>
        <w:t>Income Taxes</w:t>
      </w:r>
      <w:r>
        <w:rPr>
          <w:rFonts w:ascii="Times New Roman;sans-serif" w:hAnsi="Times New Roman;sans-serif"/>
          <w:b w:val="false"/>
          <w:color w:val="000000"/>
          <w:sz w:val="22"/>
        </w:rPr>
        <w:t>, in our Consolidated Financial Statements on Form 10-K for the year ended December 31, 2023.</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Net Income and Comprehensive Income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was $24.5 million and $19.9 million in the six months ended June 30, 2024 and 2023, respectively, an increase of $4.6 million (or 23%). The increase was primarily attributable to an increase of $16.9 million in nonoperating components of net periodic benefit income, an increase of $7.0 million in gross profit from the Technical Solutions segment, and a decrease of $2.4 million in selling, general, and administrative expense, partially offset by a decrease of $17.2 million in gross profit in the LEU segment, an increase of $2.3 million in advanced technology costs, and an increase of $2.0 million in the amortization of intangible assets.</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As of June 30, 2024, the Company had a consolidated cash and cash equivalents balance of $227.0 million. In addition, there was $29.8 million of restricted cash related to three inventory loans, which required a cash deposit into an escrow fund. See Note 3</w:t>
      </w:r>
      <w:r>
        <w:rPr>
          <w:rFonts w:ascii="Times New Roman;sans-serif" w:hAnsi="Times New Roman;sans-serif"/>
          <w:b w:val="false"/>
          <w:i/>
          <w:color w:val="000000"/>
          <w:sz w:val="22"/>
        </w:rPr>
        <w:t>, Cash, Cash Equivalents, and Restricted Cash</w:t>
      </w:r>
      <w:r>
        <w:rPr>
          <w:color w:val="000000"/>
        </w:rPr>
        <w:t xml:space="preserve"> </w:t>
      </w:r>
      <w:r>
        <w:rPr>
          <w:rFonts w:ascii="Times New Roman;sans-serif" w:hAnsi="Times New Roman;sans-serif"/>
          <w:b w:val="false"/>
          <w:color w:val="000000"/>
          <w:sz w:val="22"/>
        </w:rPr>
        <w:t xml:space="preserve">of the Consolidated Financial Statements. The Company anticipates having adequate liquidity to support our business operations for at least the next 12 months from the date of this Quarterly Report on Form 10-Q. Our view of liquidity is dependent on, among other things, conditions affecting our operations, including market, international trade restrictions, sanctions and other conditions, the impact of the May 2024 enactment of the Import Ban Act and our ability to obtain additional waivers thereunder, the level of expenditures and government funding for our services contracts, and the timing of customer payments. Liquidity requirements for our existing operations are affected primarily by the timing and amount of customer sales and our inventory purchases.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believes its LEU segment backlog is a source of stability for our liquidity position. Subject to market conditions, we see the potential for growing uncommitted demand for LEU during the next few years with accelerated open demand in 2025 and beyond.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Cash resources and net sales proceeds from our LEU segment fund technology costs that are outside of our customer contracts in the Technical Solutions segment and general corporate expenses, including cash interest payments on our debt. We believe our investment in advanced U.S. uranium enrichment technology will position the Company to meet the needs of our customers as they deploy advanced reactors and require next generation fuels.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10, 2022, the Company was awarded the HALEU Operation Contract. The HALEU Operation Contract provides for a 50/50 cost-share contract for Phase 1 of the base contract to complete the cascade, begin operations and produce the initial, small quantity demonstration HALEU. Phase 2 includes continued operations and maintenance on a cost-plus-incentive-fee basis. Finally, the HALEU Operation Contract includes options for the government to unilaterally extend performance for up to an additional nine years comprised of three options of three years each, also on a cost-plus-incentive-fee basis. The Company also is performing additional work on infrastructure and facility repairs and costs associated with 5B Cylinder refurbishment under the DOE’s technical direction. The Company’s goal is to modularly scale up the facility as demand for HALEU grows in the commercial and government sectors, subject to the availability of funding and/or contracts to purchase the output of the plant.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Although the Company believes demand for HALEU will emerge over the next several years, there are no guarantees about whether or when government or commercial demand for HALEU will materialize, and there are a number of technical, regulatory, and economic hurdles that must be overcome for these fuels and the reactors that will use these fuels to come to market. For further discussion, refer to Part 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 in our Annual Report on Form 10-K for the year ended December 31, 2023.</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If funding by the U.S. government of gas centrifuge technology is reduced or discontinued, or we are not awarded a future DOE contract to continue to operate the cascade or expand it, such actions may have a material adverse impact on our ability to deploy the American Centrifuge technology and on our liquidity.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Capital expenditures of approximately $4.9 million are anticipated over the next 12 months.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On May 28, 2024, the Company entered into an agreement with an insurer (“Insurer”) for two of its defined benefit plans to purchase a group annuity contract and transferred approximately $234 million of its pension plan obligations to the insurer. The purchase of the group annuity contract was funded directly by the assets of the pension plan of approximately $224 million. The purchase resulted in a transfer of benefit administrative responsibilities for more than 1,000 beneficiaries effective September 1, 2024. The Company recognized income related to these events of $16.6 million in the three and six months ended June 30, 2024 in </w:t>
      </w:r>
      <w:r>
        <w:rPr>
          <w:rFonts w:ascii="Times New Roman;sans-serif" w:hAnsi="Times New Roman;sans-serif"/>
          <w:b w:val="false"/>
          <w:i/>
          <w:color w:val="000000"/>
          <w:sz w:val="22"/>
        </w:rPr>
        <w:t>Nonoperating Components of Net Periodic Benefit Loss (Income)</w:t>
      </w:r>
      <w:r>
        <w:rPr>
          <w:color w:val="000000"/>
        </w:rPr>
        <w:t xml:space="preserve"> </w:t>
      </w:r>
      <w:r>
        <w:rPr>
          <w:rFonts w:ascii="Times New Roman;sans-serif" w:hAnsi="Times New Roman;sans-serif"/>
          <w:b w:val="false"/>
          <w:color w:val="000000"/>
          <w:sz w:val="22"/>
        </w:rPr>
        <w:t>in the Consolidated Statements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are also actively considering and expect to consider potential strategic transactions from time to time, which at any given time may be in various stages of discussion, diligence, or negotiation. These could involve, without limitation, acquisitions and/or dispositions of businesses or assets, joint ventures or investments in businesses, products or technologies, or changes to our capital structure. In connection with any such transaction, we would seek to satisfy these needs through a combination of working capital, cash generated from operations, or additional debt or equity financing.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change in cash, cash equivalents and restricted cash from our Consolidated Statements of Cash Flows are as follows on a summarized basis (in millions): </w:t>
      </w:r>
    </w:p>
    <w:tbl>
      <w:tblPr>
        <w:tblW w:w="8394" w:type="dxa"/>
        <w:jc w:val="center"/>
        <w:tblInd w:w="0" w:type="dxa"/>
        <w:tblLayout w:type="fixed"/>
        <w:tblCellMar>
          <w:top w:w="28" w:type="dxa"/>
          <w:left w:w="28" w:type="dxa"/>
          <w:bottom w:w="28" w:type="dxa"/>
          <w:right w:w="28" w:type="dxa"/>
        </w:tblCellMar>
      </w:tblPr>
      <w:tblGrid>
        <w:gridCol w:w="2290"/>
        <w:gridCol w:w="2017"/>
        <w:gridCol w:w="2023"/>
        <w:gridCol w:w="211"/>
        <w:gridCol w:w="526"/>
        <w:gridCol w:w="109"/>
        <w:gridCol w:w="109"/>
        <w:gridCol w:w="109"/>
        <w:gridCol w:w="109"/>
        <w:gridCol w:w="211"/>
        <w:gridCol w:w="526"/>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w:t>
              <w:br/>
              <w:t> June 30,</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investing activities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financing activities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 changes on cash, cash equivalents and restricted cash</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32.6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Operating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For the six months ended June 30, 2024, net cash provided by operating activities was $12.3 million. The net increase was primarily due to approximately $199 million in cash collected from customers, investment income, and reimbursements for postretirement health and life benefits paid by the Company. These cash inflows were partially offset by approximately $187 million of disbursements for operations, of which approximately $143 million relates to payments for LEU inventory deliveries and cash outflows for the Technical Solutions segment, with the remaining disbursements being for corporate administration, benefits claims, and advanced technology costs.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For the six months ended June 30, 2023, net cash provided by operating activities was $15.2 million. The net increase was primarily due to approximately $197.0 million in cash collected from customers, investment income, and reimbursements for postretirement health and life benefits paid by the Company. These cash inflows were partially offset by approximately $182.0 million of disbursements for operations, of which $144.0 million relates to payments for LEU inventory deliveries and cash outflows for the Technical Solutions segment, with the remaining disbursements being for corporate administration, benefits claims, and advanced technology costs.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Capital expenditures were $2.4 million and $0.7 million for the six months ended June 30, 2024 and 2023, respectively.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Financing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For the six months ended June 30, 2024 and 2023, cash of $19.0 million and $23.2</w:t>
      </w:r>
      <w:r>
        <w:rPr>
          <w:color w:val="000000"/>
        </w:rPr>
        <w:t xml:space="preserve"> </w:t>
      </w:r>
      <w:r>
        <w:rPr>
          <w:rFonts w:ascii="Times New Roman;sans-serif" w:hAnsi="Times New Roman;sans-serif"/>
          <w:b w:val="false"/>
          <w:color w:val="000000"/>
          <w:sz w:val="22"/>
        </w:rPr>
        <w:t>million, respectively, was provided from the net proceeds related to the issuance of 451,830 and 722,568 shares, respectively, of Class A Common Stock under ATM offerings. For both the six months ended June 30, 2024 and 2023, payments of $3.1 million of interest classified as debt are classified as a financing activity. Refer to Note 6</w:t>
      </w:r>
      <w:r>
        <w:rPr>
          <w:rFonts w:ascii="Times New Roman;sans-serif" w:hAnsi="Times New Roman;sans-serif"/>
          <w:b w:val="false"/>
          <w:i/>
          <w:color w:val="000000"/>
          <w:sz w:val="22"/>
        </w:rPr>
        <w:t>, Debt,</w:t>
      </w:r>
      <w:r>
        <w:rPr>
          <w:color w:val="000000"/>
        </w:rPr>
        <w:t xml:space="preserve"> </w:t>
      </w:r>
      <w:r>
        <w:rPr>
          <w:rFonts w:ascii="Times New Roman;sans-serif" w:hAnsi="Times New Roman;sans-serif"/>
          <w:b w:val="false"/>
          <w:color w:val="000000"/>
          <w:sz w:val="22"/>
        </w:rPr>
        <w:t xml:space="preserve">of the Consolidated Financial Statements regarding the accounting for the 8.25% Notes maturing in February 2027.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Working Capital</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the Company’s working capital (in millions): </w:t>
      </w:r>
    </w:p>
    <w:tbl>
      <w:tblPr>
        <w:tblW w:w="8207" w:type="dxa"/>
        <w:jc w:val="center"/>
        <w:tblInd w:w="0" w:type="dxa"/>
        <w:tblLayout w:type="fixed"/>
        <w:tblCellMar>
          <w:top w:w="28" w:type="dxa"/>
          <w:left w:w="28" w:type="dxa"/>
          <w:bottom w:w="28" w:type="dxa"/>
          <w:right w:w="28" w:type="dxa"/>
        </w:tblCellMar>
      </w:tblPr>
      <w:tblGrid>
        <w:gridCol w:w="2037"/>
        <w:gridCol w:w="1789"/>
        <w:gridCol w:w="1799"/>
        <w:gridCol w:w="211"/>
        <w:gridCol w:w="631"/>
        <w:gridCol w:w="109"/>
        <w:gridCol w:w="109"/>
        <w:gridCol w:w="109"/>
        <w:gridCol w:w="109"/>
        <w:gridCol w:w="276"/>
        <w:gridCol w:w="826"/>
        <w:gridCol w:w="202"/>
      </w:tblGrid>
      <w:tr>
        <w:trPr/>
        <w:tc>
          <w:tcPr>
            <w:tcW w:w="2037"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and advances from customers, net of deferred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 and liabilities,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Working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203.0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214.3</w:t>
            </w: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are managing our working capital to seek to improve the long-term value of our LEU and Technical Solutions businesses and are planning to continue funding the Company’s qualified pension plans because we believe these uses of working capital are in the best interest of all stakeholders. We expect that any other uses of working capital will be undertaken in light of these strategic priorities and will be based on the Company’s determination as to the relative strength of its operating performance and prospects, financial position, and expected liquidity requirements. In addition, we expect that any such other uses of working capital will be subject to compliance with contractual restrictions to which the Company and its subsidiaries are subject, including the terms and conditions of our 8.25% Notes. We continually evaluate alternatives to manage our capital structure and may opportunistically repurchase, exchange, or redeem Company securities from time to time.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2023 Shelf Registration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filed a shelf registration statement on Form S-3 (Registration Statement No. 333-272984) with the SEC on June 28, 2023, which became effective on July 10, 2023. Pursuant to this shelf registration statement, the Company may offer and sell up to $200 million in securities, in aggregate. The Company retains broad discretion over the use of the net proceeds from the sale of the securities offered.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Common Stock Issuance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February 9, 2024, the Company entered into an At Market Issuance Sales Agreement with B. Riley Securities, Inc., Lake Street Capital Markets, LLC and Roth Capital Partners, LLC (collectively, the “Agents”), relating to the ATM offering of shares of the Company’s Class A Common Stock. Pursuant to this sales agreement, the Company sold an aggregate of 275,202 and 451,830 shares of its Class A Common Stock at the market price in the three and six months ended June 30, 2024, respectively, for a total of $12.5 million and $19.9 million, respectively. After expenses and commissions paid to the Agents, the Company’s proceeds totaled $12.2 million and $19.3 million in the three and six months ended June 30, 2024, respectively. Additionally, the Company recorded direct costs of less than $0.1 million in both the three and six months ended June 30, 2024, related to the issuance. The shares of Class A Common Stock were issued pursuant to the Company’s shelf registration statement on Form S-3 (File No. 333-272984), which became effective on July 10, 2023, and a prospectus supplement dated February 9, 2024.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a separate sales agreement with its Agents, the Company sold, through its ATM offering at the market price, an aggregate of 0 and 722,568 shares of its Class A Common Stock in the three and six months ended June 30, 2023, respectively, for a total of $0 and $24.4 million, respectively. After expenses and commissions paid to the Agents, the Company’s proceeds totaled $0 and $23.4 million in the three and six months ended June 30, 2023, respectively. Additionally, the Company recorded direct costs of $0 and $0.2 million in the three and six months ended June 30, 2023, respectively, related to the issuance. The shares of Class A Common Stock were issued pursuant to the Company’s shelf registration statement on Form S-3 (File No. 333-239242), which became effective on August 5, 2020, and two prospectus supplements dated December 31, 2020 and December 5, 2022, respectively.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Unless otherwise specified in any prospectus supplement, the Company has used and/or intends to use the net proceeds from the sale of its securities offered under these prospectuses for working capital and general corporate purposes including, but not limited to, capital expenditures, repayment of indebtedness, potential acquisitions and other business opportunities. Pending any specific application, the Company may initially invest funds in short-term marketable securities or apply them to the reduction of indebtedness.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Rights Agreement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May 28, 2024, the Company entered into a Sixth Amendment to the Section 382 Rights Agreement, which amends the Rights Agreement, dated as of April 6, 2016 , by and among the Company, and Computershare Trust Company, N.A. and Computershare Inc., as rights agent, as previously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and (v) the Fifth Amendment to the Rights Agreement dated as of June 20, 2023.</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Fifth Amendment to the Rights Agreement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Fifth Amendment was not adopted as a result of, or in response to, any effort to acquire control of the Company. The Fifth Amendment was adopted in order to preserve for the Company’s stockholders the long-term value of the Company’s NOL carryforwards for United States federal income tax purposes and other tax benefits.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Sixth Amendment was approved by the Board on May 28, 2024 and makes clarifying changes relating to the definition of “Beneficial Owner”, “beneficially owned” and “Beneficial Ownership” contained in the Rights Agreement. Please see Exhibit 4.1 in Item 6, </w:t>
      </w:r>
      <w:r>
        <w:rPr>
          <w:rFonts w:ascii="Times New Roman;sans-serif" w:hAnsi="Times New Roman;sans-serif"/>
          <w:b w:val="false"/>
          <w:i/>
          <w:color w:val="000000"/>
          <w:sz w:val="22"/>
        </w:rPr>
        <w:t>Exhibits</w:t>
      </w:r>
      <w:r>
        <w:rPr>
          <w:rFonts w:ascii="Times New Roman;sans-serif" w:hAnsi="Times New Roman;sans-serif"/>
          <w:b w:val="false"/>
          <w:color w:val="000000"/>
          <w:sz w:val="22"/>
        </w:rPr>
        <w:t>, of the Consolidated Financial Statements for further details.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Capital Structure and Financial Resources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Interest on the 8.25% Notes is payable semi-annually in arrears as of February 28 and August 31 based on a 360-day year consisting of twelve 30-day months. The 8.25% Notes are guaranteed on a subordinated and limited basis by, and secured by substantially all assets of, Enrichment Corp. The 8.25% Notes mature on February 28, 2027. Additional terms and conditions of the 8.25% Notes are described in Note 6</w:t>
      </w:r>
      <w:r>
        <w:rPr>
          <w:rFonts w:ascii="Times New Roman;sans-serif" w:hAnsi="Times New Roman;sans-serif"/>
          <w:b w:val="false"/>
          <w:i/>
          <w:color w:val="000000"/>
          <w:sz w:val="22"/>
        </w:rPr>
        <w:t xml:space="preserve">, Debt, </w:t>
      </w:r>
      <w:r>
        <w:rPr>
          <w:rFonts w:ascii="Times New Roman;sans-serif" w:hAnsi="Times New Roman;sans-serif"/>
          <w:b w:val="false"/>
          <w:color w:val="000000"/>
          <w:sz w:val="22"/>
        </w:rPr>
        <w:t>of the Consolidated Financial Statements and Note 8</w:t>
      </w:r>
      <w:r>
        <w:rPr>
          <w:rFonts w:ascii="Times New Roman;sans-serif" w:hAnsi="Times New Roman;sans-serif"/>
          <w:b w:val="false"/>
          <w:i/>
          <w:color w:val="000000"/>
          <w:sz w:val="22"/>
        </w:rPr>
        <w:t>, Debt,</w:t>
      </w:r>
      <w:r>
        <w:rPr>
          <w:color w:val="000000"/>
        </w:rPr>
        <w:t xml:space="preserve"> </w:t>
      </w:r>
      <w:r>
        <w:rPr>
          <w:rFonts w:ascii="Times New Roman;sans-serif" w:hAnsi="Times New Roman;sans-serif"/>
          <w:b w:val="false"/>
          <w:color w:val="000000"/>
          <w:sz w:val="22"/>
        </w:rPr>
        <w:t>of the Consolidated Financial Statements in the Company’s Annual Report on Form 10-K for the year ended December 31, 2023.</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Contractual Commitments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to our contractual commitments from those discussed in our Annual Report on Form 10-K for the year ended December 31, 2023.</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DOE Technology License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have a non-exclusive license in DOE inventions that pertain to enriching uranium using gas centrifuge technology. The license agreement with DOE provides for annual royalty payments based on a varying percentage (1% up to 2%) of our annual revenues from sales of the SWU component of LEU produced by us using DOE centrifuge technology. There is a minimum annual royalty payment of $100,000 and the maximum cumulative royalty over the life of the license is $100 million. There is currently no commercial enrichment facility producing LEU using DOE centrifuge technology. We are continuing to advance our U.S. centrifuge technology that has evolved from DOE inventions at specialized facilities in Oak Ridge, Tennessee with a view to deploying a commercial enrichment facility over the long term.</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Off-Balance Sheet Arrangements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Other than our SWU purchase commitments and the license agreement with DOE relating to the American Centrifuge technology, there were no material off-balance sheet arrangements at June 30, 2024.</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There have been no significant changes to the critical accounting estimates disclosed in Part II, Item 7, </w:t>
      </w:r>
      <w:r>
        <w:rPr>
          <w:rFonts w:ascii="Times New Roman;sans-serif" w:hAnsi="Times New Roman;sans-serif"/>
          <w:b w:val="false"/>
          <w:i/>
          <w:color w:val="000000"/>
          <w:sz w:val="22"/>
        </w:rPr>
        <w:t>Management’s Discussion and Analysis of Financial Condition and Results of Operations,</w:t>
      </w:r>
      <w:r>
        <w:rPr>
          <w:color w:val="000000"/>
        </w:rPr>
        <w:t xml:space="preserve"> </w:t>
      </w:r>
      <w:r>
        <w:rPr>
          <w:rFonts w:ascii="Times New Roman;sans-serif" w:hAnsi="Times New Roman;sans-serif"/>
          <w:b w:val="false"/>
          <w:color w:val="000000"/>
          <w:sz w:val="22"/>
        </w:rPr>
        <w:t>in our Annual Report on Form 10-K for the year ended December 31, 2023.</w:t>
      </w:r>
    </w:p>
    <w:p>
      <w:pPr>
        <w:pStyle w:val="TextBody"/>
        <w:bidi w:val="0"/>
        <w:spacing w:before="0" w:after="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2"/>
        </w:rPr>
        <w:t xml:space="preserve">Item 3. </w:t>
      </w:r>
      <w:r>
        <w:rPr>
          <w:rFonts w:ascii="Times New Roman;sans-serif" w:hAnsi="Times New Roman;sans-serif"/>
          <w:b/>
          <w:i/>
          <w:color w:val="000000"/>
          <w:sz w:val="22"/>
        </w:rPr>
        <w:t>Quantitative and Qualitative Disclosures About Market Risk</w:t>
      </w:r>
    </w:p>
    <w:p>
      <w:pPr>
        <w:pStyle w:val="TextBody"/>
        <w:bidi w:val="0"/>
        <w:spacing w:before="0" w:after="0"/>
        <w:ind w:left="0" w:right="0" w:firstLine="270"/>
        <w:jc w:val="both"/>
        <w:rPr/>
      </w:pPr>
      <w:r>
        <w:rPr/>
      </w:r>
    </w:p>
    <w:p>
      <w:pPr>
        <w:pStyle w:val="TextBody"/>
        <w:bidi w:val="0"/>
        <w:spacing w:lineRule="auto" w:line="26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to our market risks from those discussed in our Annual Report on Form 10-K for the year ended December 31, 2023.</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2"/>
        </w:rPr>
        <w:t xml:space="preserve">Item 4. </w:t>
      </w:r>
      <w:r>
        <w:rPr>
          <w:rFonts w:ascii="Times New Roman;sans-serif" w:hAnsi="Times New Roman;sans-serif"/>
          <w:b/>
          <w:i/>
          <w:color w:val="000000"/>
          <w:sz w:val="22"/>
        </w:rPr>
        <w:t>Controls and Procedures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Evaluation of Disclosure Controls and Procedures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maintains disclosure controls and procedures that are designed to ensure that information required to be disclosed by Centrus in reports it files or submits under the Exchange Act is recorded, processed, summarized and reported in the time periods specified in the SEC’s rules and forms and that such information is accumulated and communicated to management, including the Chief Executive Officer and the Chief Financial Officer, as appropriate to allow for timely decisions regarding required disclosures.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As of June 30, 2024, the end of the period covered by this Quarterly Report on Form 10-Q, our management performed an evaluation, under the supervision and with the participation of the Chief Executive Officer and the Chief Financial Officer, of the effectiveness of our disclosure controls and procedures (as defined in Rule 13a-15(e) under the Exchange Act). Based on this evaluation, the Chief Executive Officer and the Chief Financial Officer concluded that the Company’s disclosure controls and procedures were effective.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Changes in Internal Control Over Financial Reporting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were no changes in our internal control over financial reporting during the quarter ended June 30, 2024,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1. </w:t>
      </w:r>
      <w:r>
        <w:rPr>
          <w:rFonts w:ascii="Times New Roman;sans-serif" w:hAnsi="Times New Roman;sans-serif"/>
          <w:b/>
          <w:i/>
          <w:color w:val="000000"/>
          <w:sz w:val="22"/>
        </w:rPr>
        <w:t>Legal Proceedings</w:t>
      </w:r>
    </w:p>
    <w:p>
      <w:pPr>
        <w:pStyle w:val="TextBody"/>
        <w:bidi w:val="0"/>
        <w:spacing w:before="0" w:after="0"/>
        <w:ind w:left="0" w:right="0" w:firstLine="225"/>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Refer to Note 11</w:t>
      </w:r>
      <w:r>
        <w:rPr>
          <w:rFonts w:ascii="Times New Roman;sans-serif" w:hAnsi="Times New Roman;sans-serif"/>
          <w:b w:val="false"/>
          <w:i/>
          <w:color w:val="000000"/>
          <w:sz w:val="22"/>
        </w:rPr>
        <w:t>, Commitments and Contingencies — Legal Matters,</w:t>
      </w:r>
      <w:r>
        <w:rPr>
          <w:color w:val="000000"/>
        </w:rPr>
        <w:t xml:space="preserve"> </w:t>
      </w:r>
      <w:r>
        <w:rPr>
          <w:rFonts w:ascii="Times New Roman;sans-serif" w:hAnsi="Times New Roman;sans-serif"/>
          <w:b w:val="false"/>
          <w:color w:val="000000"/>
          <w:sz w:val="22"/>
        </w:rPr>
        <w:t>of our Consolidated Financial Statements in Part I of this Quarterly Report on Form 10-Q.</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1A. </w:t>
      </w:r>
      <w:r>
        <w:rPr>
          <w:rFonts w:ascii="Times New Roman;sans-serif" w:hAnsi="Times New Roman;sans-serif"/>
          <w:b/>
          <w:i/>
          <w:color w:val="000000"/>
          <w:sz w:val="22"/>
        </w:rPr>
        <w:t>Risk Factors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There have been no material changes to the Risk Factors described in Part 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 in our Annual Report on Form 10-K for the year ended December 31, 2023.</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5. </w:t>
      </w:r>
      <w:r>
        <w:rPr>
          <w:rFonts w:ascii="Times New Roman;sans-serif" w:hAnsi="Times New Roman;sans-serif"/>
          <w:b/>
          <w:i/>
          <w:color w:val="000000"/>
          <w:sz w:val="22"/>
        </w:rPr>
        <w:t>Other Information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None of our directors or executive officers adopted or terminated a Rule 10b5-1 trading arrangement or a non-Rule 10b5-1 trading arrangement (as defined in Item 408(c) of Regulation S-K) during the period covered by this Quarterly Report on Form 10-Q.</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before="0" w:after="0"/>
        <w:jc w:val="left"/>
        <w:rPr/>
      </w:pPr>
      <w:r>
        <w:rPr>
          <w:rFonts w:ascii="Times New Roman;sans-serif" w:hAnsi="Times New Roman;sans-serif"/>
          <w:b/>
          <w:color w:val="000000"/>
          <w:sz w:val="22"/>
        </w:rPr>
        <w:t xml:space="preserve">Item 6. </w:t>
      </w:r>
      <w:r>
        <w:rPr>
          <w:rFonts w:ascii="Times New Roman;sans-serif" w:hAnsi="Times New Roman;sans-serif"/>
          <w:b/>
          <w:i/>
          <w:color w:val="000000"/>
          <w:sz w:val="22"/>
        </w:rPr>
        <w:t>Exhibits</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9"/>
        <w:gridCol w:w="184"/>
        <w:gridCol w:w="184"/>
        <w:gridCol w:w="2782"/>
        <w:gridCol w:w="2782"/>
        <w:gridCol w:w="3974"/>
      </w:tblGrid>
      <w:tr>
        <w:trPr/>
        <w:tc>
          <w:tcPr>
            <w:tcW w:w="29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3974"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8"/>
                <w:u w:val="single"/>
              </w:rPr>
            </w:pPr>
            <w:r>
              <w:rPr>
                <w:rFonts w:ascii="Times New Roman;sans-serif" w:hAnsi="Times New Roman;sans-serif"/>
                <w:b/>
                <w:color w:val="000000"/>
                <w:sz w:val="18"/>
                <w:u w:val="single"/>
              </w:rPr>
              <w:t>Exhibit No.</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5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ans-serif" w:hAnsi="Times New Roman;sans-serif"/>
                  <w:b w:val="false"/>
                  <w:color w:val="000080"/>
                  <w:sz w:val="20"/>
                  <w:u w:val="single"/>
                </w:rPr>
                <w:t>Sixth Amendment to the Section 382 Rights Agreement, dated as of May 28, 2024, by and among Centrus Energy Corp., Computershare Trust Company N.A. and Computershare Inc.</w:t>
              </w:r>
            </w:hyperlink>
            <w:hyperlink r:id="rId5">
              <w:r>
                <w:rPr>
                  <w:rStyle w:val="InternetLink"/>
                  <w:rFonts w:ascii="Times New Roman;sans-serif" w:hAnsi="Times New Roman;sans-serif"/>
                  <w:b w:val="false"/>
                  <w:color w:val="000080"/>
                  <w:sz w:val="20"/>
                  <w:u w:val="single"/>
                </w:rPr>
                <w:t xml:space="preserve"> (incorporated by reference to Exhibit 4.1 of the Company</w:t>
              </w:r>
            </w:hyperlink>
            <w:hyperlink r:id="rId6">
              <w:r>
                <w:rPr>
                  <w:rStyle w:val="InternetLink"/>
                  <w:rFonts w:ascii="Times New Roman;sans-serif" w:hAnsi="Times New Roman;sans-serif"/>
                  <w:b w:val="false"/>
                  <w:color w:val="000080"/>
                  <w:sz w:val="20"/>
                  <w:u w:val="single"/>
                </w:rPr>
                <w:t>’</w:t>
              </w:r>
            </w:hyperlink>
            <w:hyperlink r:id="rId7">
              <w:r>
                <w:rPr>
                  <w:rStyle w:val="InternetLink"/>
                  <w:rFonts w:ascii="Times New Roman;sans-serif" w:hAnsi="Times New Roman;sans-serif"/>
                  <w:b w:val="false"/>
                  <w:color w:val="000080"/>
                  <w:sz w:val="20"/>
                  <w:u w:val="single"/>
                </w:rPr>
                <w:t xml:space="preserve">s Current Report on Form 8-K, filed on </w:t>
              </w:r>
            </w:hyperlink>
            <w:hyperlink r:id="rId8">
              <w:r>
                <w:rPr>
                  <w:rStyle w:val="InternetLink"/>
                  <w:rFonts w:ascii="Times New Roman;sans-serif" w:hAnsi="Times New Roman;sans-serif"/>
                  <w:b w:val="false"/>
                  <w:color w:val="000080"/>
                  <w:sz w:val="20"/>
                  <w:u w:val="single"/>
                </w:rPr>
                <w:t xml:space="preserve">May </w:t>
              </w:r>
            </w:hyperlink>
            <w:hyperlink r:id="rId9">
              <w:r>
                <w:rPr>
                  <w:rStyle w:val="InternetLink"/>
                  <w:rFonts w:ascii="Times New Roman;sans-serif" w:hAnsi="Times New Roman;sans-serif"/>
                  <w:b w:val="false"/>
                  <w:color w:val="000080"/>
                  <w:sz w:val="20"/>
                  <w:u w:val="single"/>
                </w:rPr>
                <w:t>2</w:t>
              </w:r>
            </w:hyperlink>
            <w:hyperlink r:id="rId10">
              <w:r>
                <w:rPr>
                  <w:rStyle w:val="InternetLink"/>
                  <w:rFonts w:ascii="Times New Roman;sans-serif" w:hAnsi="Times New Roman;sans-serif"/>
                  <w:b w:val="false"/>
                  <w:color w:val="000080"/>
                  <w:sz w:val="20"/>
                  <w:u w:val="single"/>
                </w:rPr>
                <w:t>8</w:t>
              </w:r>
            </w:hyperlink>
            <w:hyperlink r:id="rId11">
              <w:r>
                <w:rPr>
                  <w:rStyle w:val="InternetLink"/>
                  <w:rFonts w:ascii="Times New Roman;sans-serif" w:hAnsi="Times New Roman;sans-serif"/>
                  <w:b w:val="false"/>
                  <w:color w:val="000080"/>
                  <w:sz w:val="20"/>
                  <w:u w:val="single"/>
                </w:rPr>
                <w:t>, 2024)</w:t>
              </w:r>
            </w:hyperlink>
            <w:hyperlink r:id="rId12">
              <w:r>
                <w:rPr>
                  <w:rStyle w:val="InternetLink"/>
                  <w:rFonts w:ascii="Times New Roman;sans-serif" w:hAnsi="Times New Roman;sans-serif"/>
                  <w:b w:val="false"/>
                  <w:color w:val="000080"/>
                  <w:sz w:val="20"/>
                  <w:u w:val="single"/>
                </w:rPr>
                <w:t>.</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ans-serif" w:hAnsi="Times New Roman;sans-serif"/>
                  <w:b w:val="false"/>
                  <w:color w:val="000080"/>
                  <w:sz w:val="20"/>
                  <w:u w:val="single"/>
                </w:rPr>
                <w:t>Modification 7 to Agreement, dated April 4, 2024, by and between American Centrifuge Operating, LLC and the U.S. Department of Energy</w:t>
              </w:r>
            </w:hyperlink>
            <w:hyperlink r:id="rId14">
              <w:r>
                <w:rPr>
                  <w:rStyle w:val="InternetLink"/>
                  <w:rFonts w:ascii="Times New Roman;sans-serif" w:hAnsi="Times New Roman;sans-serif"/>
                  <w:b w:val="false"/>
                  <w:color w:val="000080"/>
                  <w:sz w:val="20"/>
                  <w:u w:val="single"/>
                </w:rPr>
                <w:t xml:space="preserve"> </w:t>
              </w:r>
            </w:hyperlink>
            <w:hyperlink r:id="rId15">
              <w:r>
                <w:rPr>
                  <w:rStyle w:val="InternetLink"/>
                  <w:rFonts w:ascii="Times New Roman;sans-serif" w:hAnsi="Times New Roman;sans-serif"/>
                  <w:b w:val="false"/>
                  <w:color w:val="000080"/>
                  <w:sz w:val="20"/>
                  <w:u w:val="single"/>
                </w:rPr>
                <w:t>(incorporated by refer</w:t>
              </w:r>
            </w:hyperlink>
            <w:hyperlink r:id="rId16">
              <w:r>
                <w:rPr>
                  <w:rStyle w:val="InternetLink"/>
                  <w:rFonts w:ascii="Times New Roman;sans-serif" w:hAnsi="Times New Roman;sans-serif"/>
                  <w:b w:val="false"/>
                  <w:color w:val="000080"/>
                  <w:sz w:val="20"/>
                  <w:u w:val="single"/>
                </w:rPr>
                <w:t>ence to Exhibit 10.</w:t>
              </w:r>
            </w:hyperlink>
            <w:hyperlink r:id="rId17">
              <w:r>
                <w:rPr>
                  <w:rStyle w:val="InternetLink"/>
                  <w:rFonts w:ascii="Times New Roman;sans-serif" w:hAnsi="Times New Roman;sans-serif"/>
                  <w:b w:val="false"/>
                  <w:color w:val="000080"/>
                  <w:sz w:val="20"/>
                  <w:u w:val="single"/>
                </w:rPr>
                <w:t>1 of the Com</w:t>
              </w:r>
            </w:hyperlink>
            <w:hyperlink r:id="rId18">
              <w:r>
                <w:rPr>
                  <w:rStyle w:val="InternetLink"/>
                  <w:rFonts w:ascii="Times New Roman;sans-serif" w:hAnsi="Times New Roman;sans-serif"/>
                  <w:b w:val="false"/>
                  <w:color w:val="000080"/>
                  <w:sz w:val="20"/>
                  <w:u w:val="single"/>
                </w:rPr>
                <w:t>pany</w:t>
              </w:r>
            </w:hyperlink>
            <w:hyperlink r:id="rId19">
              <w:r>
                <w:rPr>
                  <w:rStyle w:val="InternetLink"/>
                  <w:rFonts w:ascii="Times New Roman;sans-serif" w:hAnsi="Times New Roman;sans-serif"/>
                  <w:b w:val="false"/>
                  <w:color w:val="000080"/>
                  <w:sz w:val="20"/>
                  <w:u w:val="single"/>
                </w:rPr>
                <w:t>’</w:t>
              </w:r>
            </w:hyperlink>
            <w:hyperlink r:id="rId20">
              <w:r>
                <w:rPr>
                  <w:rStyle w:val="InternetLink"/>
                  <w:rFonts w:ascii="Times New Roman;sans-serif" w:hAnsi="Times New Roman;sans-serif"/>
                  <w:b w:val="false"/>
                  <w:color w:val="000080"/>
                  <w:sz w:val="20"/>
                  <w:u w:val="single"/>
                </w:rPr>
                <w:t xml:space="preserve">s Quarterly Report on Form 10-Q for the quarter ended March 31, 2024, filed on May </w:t>
              </w:r>
            </w:hyperlink>
            <w:hyperlink r:id="rId21">
              <w:r>
                <w:rPr>
                  <w:rStyle w:val="InternetLink"/>
                  <w:rFonts w:ascii="Times New Roman;sans-serif" w:hAnsi="Times New Roman;sans-serif"/>
                  <w:b w:val="false"/>
                  <w:color w:val="000080"/>
                  <w:sz w:val="20"/>
                  <w:u w:val="single"/>
                </w:rPr>
                <w:t>8</w:t>
              </w:r>
            </w:hyperlink>
            <w:hyperlink r:id="rId22">
              <w:r>
                <w:rPr>
                  <w:rStyle w:val="InternetLink"/>
                  <w:rFonts w:ascii="Times New Roman;sans-serif" w:hAnsi="Times New Roman;sans-serif"/>
                  <w:b w:val="false"/>
                  <w:color w:val="000080"/>
                  <w:sz w:val="20"/>
                  <w:u w:val="single"/>
                </w:rPr>
                <w:t>, 2024)</w:t>
              </w:r>
            </w:hyperlink>
            <w:hyperlink r:id="rId23">
              <w:r>
                <w:rPr>
                  <w:rStyle w:val="InternetLink"/>
                  <w:rFonts w:ascii="Times New Roman;sans-serif" w:hAnsi="Times New Roman;sans-serif"/>
                  <w:b w:val="false"/>
                  <w:color w:val="000080"/>
                  <w:sz w:val="20"/>
                  <w:u w:val="single"/>
                </w:rPr>
                <w:t>.</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5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4">
              <w:r>
                <w:rPr>
                  <w:rStyle w:val="InternetLink"/>
                  <w:rFonts w:ascii="Times New Roman;sans-serif" w:hAnsi="Times New Roman;sans-serif"/>
                  <w:b w:val="false"/>
                  <w:color w:val="000080"/>
                  <w:sz w:val="20"/>
                  <w:u w:val="single"/>
                </w:rPr>
                <w:t>Modification 8 to Agreement, dated April 29, 2024, by and between American Centrifuge Operating, LLC and the U.S. Department of Energy</w:t>
              </w:r>
            </w:hyperlink>
            <w:hyperlink r:id="rId25">
              <w:r>
                <w:rPr>
                  <w:rStyle w:val="InternetLink"/>
                  <w:rFonts w:ascii="Times New Roman;sans-serif" w:hAnsi="Times New Roman;sans-serif"/>
                  <w:b w:val="false"/>
                  <w:color w:val="000080"/>
                  <w:sz w:val="20"/>
                  <w:u w:val="single"/>
                </w:rPr>
                <w:t xml:space="preserve"> </w:t>
              </w:r>
            </w:hyperlink>
            <w:hyperlink r:id="rId26">
              <w:r>
                <w:rPr>
                  <w:rStyle w:val="InternetLink"/>
                  <w:rFonts w:ascii="Times New Roman;sans-serif" w:hAnsi="Times New Roman;sans-serif"/>
                  <w:b w:val="false"/>
                  <w:color w:val="000080"/>
                  <w:sz w:val="20"/>
                  <w:u w:val="single"/>
                </w:rPr>
                <w:t>(incorporated by reference to Exhibit 10.1 of the Company’s Quarterly Report on Form 10-Q for the quarter ended March 31, 2024, filed on May 8, 2024).</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5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103x06302024xhal.htm">
              <w:r>
                <w:rPr>
                  <w:rStyle w:val="InternetLink"/>
                  <w:rFonts w:ascii="Times New Roman;sans-serif" w:hAnsi="Times New Roman;sans-serif"/>
                  <w:b w:val="false"/>
                  <w:color w:val="000080"/>
                  <w:sz w:val="20"/>
                  <w:u w:val="single"/>
                </w:rPr>
                <w:t xml:space="preserve">Modification </w:t>
              </w:r>
            </w:hyperlink>
            <w:hyperlink w:anchor="exhibit_103x06302024xhal.htm">
              <w:r>
                <w:rPr>
                  <w:rStyle w:val="InternetLink"/>
                  <w:rFonts w:ascii="Times New Roman;sans-serif" w:hAnsi="Times New Roman;sans-serif"/>
                  <w:b w:val="false"/>
                  <w:color w:val="000080"/>
                  <w:sz w:val="20"/>
                  <w:u w:val="single"/>
                </w:rPr>
                <w:t>9</w:t>
              </w:r>
            </w:hyperlink>
            <w:hyperlink w:anchor="exhibit_103x06302024xhal.htm">
              <w:r>
                <w:rPr>
                  <w:rStyle w:val="InternetLink"/>
                  <w:rFonts w:ascii="Times New Roman;sans-serif" w:hAnsi="Times New Roman;sans-serif"/>
                  <w:b w:val="false"/>
                  <w:color w:val="000080"/>
                  <w:sz w:val="20"/>
                  <w:u w:val="single"/>
                </w:rPr>
                <w:t xml:space="preserve"> to Agreement, dated </w:t>
              </w:r>
            </w:hyperlink>
            <w:hyperlink w:anchor="exhibit_103x06302024xhal.htm">
              <w:r>
                <w:rPr>
                  <w:rStyle w:val="InternetLink"/>
                  <w:rFonts w:ascii="Times New Roman;sans-serif" w:hAnsi="Times New Roman;sans-serif"/>
                  <w:b w:val="false"/>
                  <w:color w:val="000080"/>
                  <w:sz w:val="20"/>
                  <w:u w:val="single"/>
                </w:rPr>
                <w:t>May</w:t>
              </w:r>
            </w:hyperlink>
            <w:hyperlink w:anchor="exhibit_103x06302024xhal.htm">
              <w:r>
                <w:rPr>
                  <w:rStyle w:val="InternetLink"/>
                  <w:rFonts w:ascii="Times New Roman;sans-serif" w:hAnsi="Times New Roman;sans-serif"/>
                  <w:b w:val="false"/>
                  <w:color w:val="000080"/>
                  <w:sz w:val="20"/>
                  <w:u w:val="single"/>
                </w:rPr>
                <w:t xml:space="preserve"> </w:t>
              </w:r>
            </w:hyperlink>
            <w:hyperlink w:anchor="exhibit_103x06302024xhal.htm">
              <w:r>
                <w:rPr>
                  <w:rStyle w:val="InternetLink"/>
                  <w:rFonts w:ascii="Times New Roman;sans-serif" w:hAnsi="Times New Roman;sans-serif"/>
                  <w:b w:val="false"/>
                  <w:color w:val="000080"/>
                  <w:sz w:val="20"/>
                  <w:u w:val="single"/>
                </w:rPr>
                <w:t>21</w:t>
              </w:r>
            </w:hyperlink>
            <w:hyperlink w:anchor="exhibit_103x06302024xhal.htm">
              <w:r>
                <w:rPr>
                  <w:rStyle w:val="InternetLink"/>
                  <w:rFonts w:ascii="Times New Roman;sans-serif" w:hAnsi="Times New Roman;sans-serif"/>
                  <w:b w:val="false"/>
                  <w:color w:val="000080"/>
                  <w:sz w:val="20"/>
                  <w:u w:val="single"/>
                </w:rPr>
                <w:t>, 2024, by and between American Centrifuge Operating, LLC and the U.S. Department of Energy</w:t>
              </w:r>
            </w:hyperlink>
            <w:hyperlink w:anchor="exhibit_103x06302024xhal.htm">
              <w:r>
                <w:rPr>
                  <w:rStyle w:val="InternetLink"/>
                  <w:rFonts w:ascii="Times New Roman;sans-serif" w:hAnsi="Times New Roman;sans-serif"/>
                  <w:b w:val="false"/>
                  <w:color w:val="000080"/>
                  <w:sz w:val="20"/>
                  <w:u w:val="single"/>
                </w:rPr>
                <w:t>. (a)</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104x06302024xhal.htm">
              <w:r>
                <w:rPr>
                  <w:rStyle w:val="InternetLink"/>
                  <w:rFonts w:ascii="Times New Roman;sans-serif" w:hAnsi="Times New Roman;sans-serif"/>
                  <w:b w:val="false"/>
                  <w:color w:val="000080"/>
                  <w:sz w:val="20"/>
                  <w:u w:val="single"/>
                </w:rPr>
                <w:t xml:space="preserve">Modification </w:t>
              </w:r>
            </w:hyperlink>
            <w:hyperlink w:anchor="exhibit_104x06302024xhal.htm">
              <w:r>
                <w:rPr>
                  <w:rStyle w:val="InternetLink"/>
                  <w:rFonts w:ascii="Times New Roman;sans-serif" w:hAnsi="Times New Roman;sans-serif"/>
                  <w:b w:val="false"/>
                  <w:color w:val="000080"/>
                  <w:sz w:val="20"/>
                  <w:u w:val="single"/>
                </w:rPr>
                <w:t>10</w:t>
              </w:r>
            </w:hyperlink>
            <w:hyperlink w:anchor="exhibit_104x06302024xhal.htm">
              <w:r>
                <w:rPr>
                  <w:rStyle w:val="InternetLink"/>
                  <w:rFonts w:ascii="Times New Roman;sans-serif" w:hAnsi="Times New Roman;sans-serif"/>
                  <w:b w:val="false"/>
                  <w:color w:val="000080"/>
                  <w:sz w:val="20"/>
                  <w:u w:val="single"/>
                </w:rPr>
                <w:t xml:space="preserve"> to Agreement, dated </w:t>
              </w:r>
            </w:hyperlink>
            <w:hyperlink w:anchor="exhibit_104x06302024xhal.htm">
              <w:r>
                <w:rPr>
                  <w:rStyle w:val="InternetLink"/>
                  <w:rFonts w:ascii="Times New Roman;sans-serif" w:hAnsi="Times New Roman;sans-serif"/>
                  <w:b w:val="false"/>
                  <w:color w:val="000080"/>
                  <w:sz w:val="20"/>
                  <w:u w:val="single"/>
                </w:rPr>
                <w:t>June</w:t>
              </w:r>
            </w:hyperlink>
            <w:hyperlink w:anchor="exhibit_104x06302024xhal.htm">
              <w:r>
                <w:rPr>
                  <w:rStyle w:val="InternetLink"/>
                  <w:rFonts w:ascii="Times New Roman;sans-serif" w:hAnsi="Times New Roman;sans-serif"/>
                  <w:b w:val="false"/>
                  <w:color w:val="000080"/>
                  <w:sz w:val="20"/>
                  <w:u w:val="single"/>
                </w:rPr>
                <w:t xml:space="preserve"> </w:t>
              </w:r>
            </w:hyperlink>
            <w:hyperlink w:anchor="exhibit_104x06302024xhal.htm">
              <w:r>
                <w:rPr>
                  <w:rStyle w:val="InternetLink"/>
                  <w:rFonts w:ascii="Times New Roman;sans-serif" w:hAnsi="Times New Roman;sans-serif"/>
                  <w:b w:val="false"/>
                  <w:color w:val="000080"/>
                  <w:sz w:val="20"/>
                  <w:u w:val="single"/>
                </w:rPr>
                <w:t>8</w:t>
              </w:r>
            </w:hyperlink>
            <w:hyperlink w:anchor="exhibit_104x06302024xhal.htm">
              <w:r>
                <w:rPr>
                  <w:rStyle w:val="InternetLink"/>
                  <w:rFonts w:ascii="Times New Roman;sans-serif" w:hAnsi="Times New Roman;sans-serif"/>
                  <w:b w:val="false"/>
                  <w:color w:val="000080"/>
                  <w:sz w:val="20"/>
                  <w:u w:val="single"/>
                </w:rPr>
                <w:t>, 2024, by and between American Centrifuge Operating, LLC and the U.S. Department of Energy. (a)</w:t>
              </w:r>
            </w:hyperlink>
          </w:p>
        </w:tc>
      </w:tr>
      <w:tr>
        <w:trPr/>
        <w:tc>
          <w:tcPr>
            <w:tcW w:w="667" w:type="dxa"/>
            <w:gridSpan w:val="3"/>
            <w:tcBorders/>
            <w:vAlign w:val="center"/>
          </w:tcPr>
          <w:p>
            <w:pPr>
              <w:pStyle w:val="TableContents"/>
              <w:bidi w:val="0"/>
              <w:spacing w:before="0" w:after="283"/>
              <w:jc w:val="left"/>
              <w:rPr>
                <w:sz w:val="4"/>
                <w:szCs w:val="4"/>
              </w:rPr>
            </w:pPr>
            <w:r>
              <w:rPr>
                <w:sz w:val="4"/>
                <w:szCs w:val="4"/>
              </w:rPr>
            </w:r>
          </w:p>
        </w:tc>
        <w:tc>
          <w:tcPr>
            <w:tcW w:w="9538" w:type="dxa"/>
            <w:gridSpan w:val="3"/>
            <w:tcBorders/>
            <w:vAlign w:val="center"/>
          </w:tcPr>
          <w:p>
            <w:pPr>
              <w:pStyle w:val="TableContents"/>
              <w:bidi w:val="0"/>
              <w:spacing w:before="0" w:after="283"/>
              <w:jc w:val="left"/>
              <w:rPr>
                <w:sz w:val="4"/>
                <w:szCs w:val="4"/>
              </w:rPr>
            </w:pPr>
            <w:r>
              <w:rPr>
                <w:sz w:val="4"/>
                <w:szCs w:val="4"/>
              </w:rPr>
            </w:r>
          </w:p>
        </w:tc>
      </w:tr>
      <w:tr>
        <w:trPr/>
        <w:tc>
          <w:tcPr>
            <w:tcW w:w="667" w:type="dxa"/>
            <w:gridSpan w:val="3"/>
            <w:tcBorders/>
            <w:vAlign w:val="center"/>
          </w:tcPr>
          <w:p>
            <w:pPr>
              <w:pStyle w:val="TableContents"/>
              <w:bidi w:val="0"/>
              <w:spacing w:before="0" w:after="283"/>
              <w:jc w:val="left"/>
              <w:rPr>
                <w:sz w:val="4"/>
                <w:szCs w:val="4"/>
              </w:rPr>
            </w:pPr>
            <w:r>
              <w:rPr>
                <w:sz w:val="4"/>
                <w:szCs w:val="4"/>
              </w:rPr>
            </w:r>
          </w:p>
        </w:tc>
        <w:tc>
          <w:tcPr>
            <w:tcW w:w="9538" w:type="dxa"/>
            <w:gridSpan w:val="3"/>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5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311x20240630.htm">
              <w:r>
                <w:rPr>
                  <w:rStyle w:val="InternetLink"/>
                  <w:rFonts w:ascii="Times New Roman;sans-serif" w:hAnsi="Times New Roman;sans-serif"/>
                  <w:b w:val="false"/>
                  <w:color w:val="0000FF"/>
                  <w:sz w:val="20"/>
                  <w:u w:val="single"/>
                </w:rPr>
                <w:t>Certification of the Chief Executive Officer pursuant to Rule 13a-14(a)/15d-14(a). (a)</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312x20240630.htm">
              <w:r>
                <w:rPr>
                  <w:rStyle w:val="InternetLink"/>
                  <w:rFonts w:ascii="Times New Roman;sans-serif" w:hAnsi="Times New Roman;sans-serif"/>
                  <w:b w:val="false"/>
                  <w:color w:val="0000FF"/>
                  <w:sz w:val="20"/>
                  <w:u w:val="single"/>
                </w:rPr>
                <w:t>Certification of the Chief Financial Officer pursuant to Rule 13a-14(a)/15d-14(a). (a)</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53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321x20240630.htm">
              <w:r>
                <w:rPr>
                  <w:rStyle w:val="InternetLink"/>
                  <w:rFonts w:ascii="Times New Roman;sans-serif" w:hAnsi="Times New Roman;sans-serif"/>
                  <w:b w:val="false"/>
                  <w:color w:val="0000FF"/>
                  <w:sz w:val="20"/>
                  <w:u w:val="single"/>
                </w:rPr>
                <w:t>Certification of Chief Executive Officer and Chief Financial Officer pursuant to 18 U.S.C. Section 1350. (a)</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3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 Consolidated Financial Statements from the Quarterly Report on Form 10-Q for the quarter ended June 30, 2024, filed in interactive data file (formatted as Inline XBRL).</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3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(a)Filed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0"/>
        <w:jc w:val="left"/>
        <w:rPr/>
      </w:pPr>
      <w:r>
        <w:rPr/>
      </w:r>
    </w:p>
    <w:p>
      <w:pPr>
        <w:pStyle w:val="TextBody"/>
        <w:bidi w:val="0"/>
        <w:spacing w:lineRule="auto" w:line="288" w:before="0" w:after="18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Section 13 or 15(d) of the Securities Exchange Act of 1934, the registrant has duly caused this report to be signed on its behalf by the undersigned, thereunto duly authorized.</w:t>
      </w:r>
    </w:p>
    <w:tbl>
      <w:tblPr>
        <w:tblW w:w="6958" w:type="dxa"/>
        <w:jc w:val="left"/>
        <w:tblInd w:w="0" w:type="dxa"/>
        <w:tblLayout w:type="fixed"/>
        <w:tblCellMar>
          <w:top w:w="28" w:type="dxa"/>
          <w:left w:w="28" w:type="dxa"/>
          <w:bottom w:w="28" w:type="dxa"/>
          <w:right w:w="28" w:type="dxa"/>
        </w:tblCellMar>
      </w:tblPr>
      <w:tblGrid>
        <w:gridCol w:w="570"/>
        <w:gridCol w:w="500"/>
        <w:gridCol w:w="504"/>
        <w:gridCol w:w="1576"/>
        <w:gridCol w:w="1576"/>
        <w:gridCol w:w="2232"/>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Centrus Energy Corp.</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August 7, 2024</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Kevin J. Harrill</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Kevin J. Harrill</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Senior Vice President, Chief Financial Officer, and Treasurer</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(Duly Authorized Officer and Principal Financial Officer)</w:t>
            </w:r>
          </w:p>
        </w:tc>
      </w:tr>
    </w:tbl>
    <w:p>
      <w:pPr>
        <w:pStyle w:val="TextBody"/>
        <w:bidi w:val="0"/>
        <w:jc w:val="left"/>
        <w:rPr/>
      </w:pPr>
      <w:r>
        <w:rPr/>
      </w:r>
    </w:p>
    <w:p>
      <w:pPr>
        <w:pStyle w:val="TextBody"/>
        <w:bidi w:val="0"/>
        <w:spacing w:before="0" w:after="0"/>
        <w:jc w:val="center"/>
        <w:rPr/>
      </w:pPr>
      <w:bookmarkStart w:id="0" w:name="exhibit_103x06302024xhal.htm"/>
      <w:bookmarkStart w:id="1" w:name="ksexhibit_103x06302024xhal"/>
      <w:bookmarkEnd w:id="0"/>
      <w:bookmarkEnd w:id="1"/>
      <w:r>
        <w:rPr/>
        <w:drawing>
          <wp:inline distT="0" distB="0" distL="0" distR="0">
            <wp:extent cx="10048875" cy="13001625"/>
            <wp:effectExtent l="0" t="0" r="0" b="0"/>
            <wp:docPr id="5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jc w:val="center"/>
        <w:rPr>
          <w:color w:val="FFFFFF"/>
          <w:sz w:val="2"/>
        </w:rPr>
      </w:pPr>
      <w:r>
        <w:rPr>
          <w:color w:val="FFFFFF"/>
          <w:sz w:val="2"/>
        </w:rPr>
        <w:t xml:space="preserve">___________ (x) x 89243223CNE000030 copies of the amendment; (b) By acknowledging receipt of this amendment on each copy of the offer submitted ; or (c) By separate letter or electronic communication which includes a reference to the solicitation and amendment numbers. FAILURE OF YOUR ACKNOWLEDGEMENT TO BE RECEIVED AT THE PLACE DESIGNATED FOR THE RECEIPT OF OFFERS PRIOR TO THE HOUR AND DATE SPECIFIED MAY RESULT IN REJECTION OF YOUR OFFER. If by virtue of this amendment you desire to change an offer already submitted , such change may be made by letter or electronic communication, provided each letter or electronic communication makes reference to the solicitation and this amendment, and is received prior to the opening hour and date specified. See Schedule L8VHV5CNBV97 AMERICAN CENTRIFUGE OPERATING, LLC 00701 Idaho Falls ID 83415 1955 Fremont Avenue Idaho Operations Office U.S. Department of Energy 892432 Idaho Falls ID 83415 1955 Fremont Avenue Idaho Operations Office U.S. Department of Energy 24NE000188See Block 16CP00009 31 13. THIS ITEM ONLY APPLIES TO MODIFICATION OF CONTRACTS/ORDERS. IT MODIFIES THE CONTRACT/ORDER NO. AS DESCRIBED IN ITEM 14. 12. ACCOUNTING AND APPROPRIATION DATA (If required) is not extended.is extended, Items 8 and 15, and returning Offers must acknowledge receipt of this amendment prior to the hour and date specified in the solicitation or as amended , by one of the following methods: (a) By completing The above numbered solicitation is amended as set forth in Item 14. The hour and date specified for receipt of Offers 11. THIS ITEM ONLY APPLIES TO AMENDMENTS OF SOLICITATIONS FACILITY CODE CODE 10B. DATED (SEE ITEM 13) 10A. MODIFICATION OF CONTRACT/ORDER NO. 9B. DATED (SEE ITEM 11) 9A. AMENDMENT OF SOLICITATION NO. CODE 8. NAME AND ADDRESS OF CONTRACTOR (No., street, county, State and ZIP Code) 7. ADMINISTERED BY (If other than Item 6)CODE 6. ISSUED BY PAGE OF PAGES 4. REQUISITION/PURCHASE REQ. NO.3. EFFECTIVE DATE2. AMENDMENT/MODIFICATION NO. 5. PROJECT NO. (If applicable) 1. CONTRACT ID CODE AMENDMENT OF SOLICITATION/MODIFICATION OF CONTRACT 11/30/2022 Attn: Charles Kerner 6901 Rockledge Dr Ste 800 Bethesda MD 208171867 Net Increase: $20,627,096.00 CHECK ONE A. THIS CHANGE ORDER IS ISSUED PURSUANT TO: (Specify authority) THE CHANGES SET FORTH IN ITEM 14 ARE MADE IN THE CONTRACT B. THE ABOVE NUMBERED CONTRACT/ORDER IS MODIFIED TO REFLECT THE ADMINISTRATIVE CHANGES (such as changes in paying office, C. THIS SUPPLEMENTAL AGREEMENT IS ENTERED INTO PURSUANT TO AUTHORITY OF: D. OTHER (Specify type of modification and authority) appropriation data, etc.) SET FORTH IN ITEM 14, PURSUANT TO THE AUTHORITY OF FAR 43.103(b). E. IMPORTANT: Contractor is not is required to sign this document and return __________________ copies to the issuing office. ORDER NO. IN ITEM 10A. Incremental Funding; FAR 52.232-22 Limitation of Funds; x 14. DESCRIPTION OF AMENDMENT/MODIFICATION (Organized by UCF section headings, including solicitation/contract subject matter where feasible.) X UEI: L8VHV5CNBV97 The purpose of this amendment to the Contract is to: 1. Provide Incremental Funding to CLIN 0002 in the amount of $20,627,096.00, changing the total obligation of CLIN 0002 from $39,080,875.23 to $59,707,971.23. Note: A subsequent amendment will immediately follow in order to de-obligate $5,463,616.00 in funds to complete an internal DOE accounting adjustment, which will change the total obligated funds of CLIN 0002 from $59,707,971.23 to $54,244,355.23. See attachment Contract 89243223CNE000030 Rev. 08.pdf Continued ... 16A. NAME AND TITLE OF CONTRACTING OFFICER (Type or print)15A. NAME AND TITLE OF SIGNER (Type or print) 15C. DATE SIGNED 16B. UNITED STATES OF AMERICA 15B. CONTRACTOR/OFFEROR 16C. DATE SIGNED (Signature of person authorized to sign) (Signature of Contracting Officer) Jeffrey C. Fogg STANDARD FORM 30 (REV. 11/2016) Prescribed by GSA FAR (48 CFR) 53.243 Previous edition unusable Except as provided herein, all terms and conditions of the document referenced in Item 9 A or 10A, as heretofore changed, remains unchanged and in full force and effect . 05/21/2024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2 3 CONTINUATION SHEET REFERENCE NO. OF DOCUMENT BEING CONTINUED PAGE OF AMERICAN CENTRIFUGE OPERATING, LLC (A) (B) (C) (D) (E) (F) 89243223CNE000030/P00009 All other terms and conditions remain the same. Payment: OR for Idaho https://vipers.doe.gov Any questions, please contact by call/email 855-384-7377 or VipersSupport@hq.doe.gov Period of Performance: 12/01/2022 to 12/31/2024 Change Item 00002 to read as follows(amount shown is the total amount): 00002 Ongoing Cascade Operation and Production of 900 90,689,166.00 kg minimum of HALEU, Year 1 (Phase 2) Line item value is: $90,689,166.00 Incrementally Funded Amount: $59,707,971.23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05350-2024-60-302218-25233-2721136-0000000-0000000 -0000000 Fund: 05350 Appr Year: 2024 Allottee: 60 Report Entity: 302218 Object Class: 25233 Continued ... NSN 7540-01-152-8067 OPTIONAL FORM 336 (4-86) Sponsored by GSA FAR (48 CFR) 53.110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3 3 CONTINUATION SHEET REFERENCE NO. OF DOCUMENT BEING CONTINUED PAGE OF AMERICAN CENTRIFUGE OPERATING, LLC (A) (B) (C) (D) (E) (F) 89243223CNE000030/P00009 Program: 2721136 Project: 0000000 WFO: 0000000 Local Use: 0000000 Funded: $0.00 Accounting Info: 05350-2024-60-302218-25233-2721136-0000000-0000000 -0000000 Fund: 05350 Appr Year: 2024 Allottee: 60 Report Entity: 302218 Object Class: 25233 Program: 2721136 Project: 0000000 WFO: 0000000 Local Use: 0000000 Funded: $20,627,096.00 NSN 7540-01-152-8067 OPTIONAL FORM 336 (4-86) Sponsored by GSA FAR (48 CFR) 53.110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_104x06302024xhal.htm"/>
      <w:bookmarkStart w:id="3" w:name="ksexhibit_104x06302024xhal"/>
      <w:bookmarkEnd w:id="2"/>
      <w:bookmarkEnd w:id="3"/>
      <w:r>
        <w:rPr/>
        <w:drawing>
          <wp:inline distT="0" distB="0" distL="0" distR="0">
            <wp:extent cx="10048875" cy="13001625"/>
            <wp:effectExtent l="0" t="0" r="0" b="0"/>
            <wp:docPr id="5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6"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___________ (x) x 89243223CNE000030 copies of the amendment; (b) By acknowledging receipt of this amendment on each copy of the offer submitted ; or (c) By separate letter or electronic communication which includes a reference to the solicitation and amendment numbers. FAILURE OF YOUR ACKNOWLEDGEMENT TO BE RECEIVED AT THE PLACE DESIGNATED FOR THE RECEIPT OF OFFERS PRIOR TO THE HOUR AND DATE SPECIFIED MAY RESULT IN REJECTION OF YOUR OFFER. If by virtue of this amendment you desire to change an offer already submitted , such change may be made by letter or electronic communication, provided each letter or electronic communication makes reference to the solicitation and this amendment, and is received prior to the opening hour and date specified. See Schedule L8VHV5CNBV97 AMERICAN CENTRIFUGE OPERATING, LLC 00701 Idaho Falls ID 83415 1955 Fremont Avenue Idaho Operations Office U.S. Department of Energy 892432 Idaho Falls ID 83415 1955 Fremont Avenue Idaho Operations Office U.S. Department of Energy 24NE000213See Block 16CP00010 31 13. THIS ITEM ONLY APPLIES TO MODIFICATION OF CONTRACTS/ORDERS. IT MODIFIES THE CONTRACT/ORDER NO. AS DESCRIBED IN ITEM 14. 12. ACCOUNTING AND APPROPRIATION DATA (If required) is not extended.is extended, Items 8 and 15, and returning Offers must acknowledge receipt of this amendment prior to the hour and date specified in the solicitation or as amended , by one of the following methods: (a) By completing The above numbered solicitation is amended as set forth in Item 14. The hour and date specified for receipt of Offers 11. THIS ITEM ONLY APPLIES TO AMENDMENTS OF SOLICITATIONS FACILITY CODE CODE 10B. DATED (SEE ITEM 13) 10A. MODIFICATION OF CONTRACT/ORDER NO. 9B. DATED (SEE ITEM 11) 9A. AMENDMENT OF SOLICITATION NO. CODE 8. NAME AND ADDRESS OF CONTRACTOR (No., street, county, State and ZIP Code) 7. ADMINISTERED BY (If other than Item 6)CODE 6. ISSUED BY PAGE OF PAGES 4. REQUISITION/PURCHASE REQ. NO.3. EFFECTIVE DATE2. AMENDMENT/MODIFICATION NO. 5. PROJECT NO. (If applicable) 1. CONTRACT ID CODE AMENDMENT OF SOLICITATION/MODIFICATION OF CONTRACT 11/30/2022 Attn: Charles Kerner 6901 Rockledge Dr Ste 800 Bethesda MD 208171867 Net Decrease: -$5,463,616.00 CHECK ONE A. THIS CHANGE ORDER IS ISSUED PURSUANT TO: (Specify authority) THE CHANGES SET FORTH IN ITEM 14 ARE MADE IN THE CONTRACT B. THE ABOVE NUMBERED CONTRACT/ORDER IS MODIFIED TO REFLECT THE ADMINISTRATIVE CHANGES (such as changes in paying office, C. THIS SUPPLEMENTAL AGREEMENT IS ENTERED INTO PURSUANT TO AUTHORITY OF: D. OTHER (Specify type of modification and authority) appropriation data, etc.) SET FORTH IN ITEM 14, PURSUANT TO THE AUTHORITY OF FAR 43.103(b). E. IMPORTANT: Contractor is not is required to sign this document and return __________________ copies to the issuing office. ORDER NO. IN ITEM 10A. Incremental Funding; FAR 52.232-22 Limitation of Funds; x 14. DESCRIPTION OF AMENDMENT/MODIFICATION (Organized by UCF section headings, including solicitation/contract subject matter where feasible.) X UEI: L8VHV5CNBV97 The purpose of this amendment to the Contract is to: 1. De-obligate CLIN 0002 funding in the amount of -$5,463,616.00 in order to complete the internal DOE accounting adjustment referenced in MOD 009, changing the total obligation for CLIN 0002 from $59,707,971.23 to $54,244,355.23. See attachment Contract 89243223CNE000030 Rev. 09.pdf All other terms and conditions remain the same. Continued ... 16A. NAME AND TITLE OF CONTRACTING OFFICER (Type or print)15A. NAME AND TITLE OF SIGNER (Type or print) 15C. DATE SIGNED 16B. UNITED STATES OF AMERICA 15B. CONTRACTOR/OFFEROR 16C. DATE SIGNED (Signature of person authorized to sign) (Signature of Contracting Officer) Andrew J. Ford STANDARD FORM 30 (REV. 11/2016) Prescribed by GSA FAR (48 CFR) 53.243 Previous edition unusable Except as provided herein, all terms and conditions of the document referenced in Item 9 A or 10A, as heretofore changed, remains unchanged and in full force and effect . 06/08/2024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7"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2 3 CONTINUATION SHEET REFERENCE NO. OF DOCUMENT BEING CONTINUED PAGE OF AMERICAN CENTRIFUGE OPERATING, LLC (A) (B) (C) (D) (E) (F) 89243223CNE000030/P00010 Payment: OR for Idaho https://vipers.doe.gov Any questions, please contact by call/email 855-384-7377 or VipersSupport@hq.doe.gov Period of Performance: 12/01/2022 to 12/31/2024 Change Item 00002 to read as follows(amount shown is the total amount): 00002 Ongoing Cascade Operation and Production of 900 90,689,166.00 kg minimum of HALEU, Year 1 (Phase 2) Line item value is: $90,689,166.00 Incrementally Funded Amount: $54,244,355.23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05350-2024-60-302218-25233-2721136-0000000-0000000 -0000000 Fund: 05350 Appr Year: 2024 Allottee: 60 Report Entity: 302218 Object Class: 25233 Program: 2721136 Project: 0000000 WFO: 0000000 Local Use: 0000000 Continued ... NSN 7540-01-152-8067 OPTIONAL FORM 336 (4-86) Sponsored by GSA FAR (48 CFR) 53.110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8"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3 3 CONTINUATION SHEET REFERENCE NO. OF DOCUMENT BEING CONTINUED PAGE OF AMERICAN CENTRIFUGE OPERATING, LLC (A) (B) (C) (D) (E) (F) 89243223CNE000030/P00010 Funded: $0.00 Accounting Info: 05350-2024-60-302218-25233-2721136-0000000-0000000 -0000000 Fund: 05350 Appr Year: 2024 Allottee: 60 Report Entity: 302218 Object Class: 25233 Program: 2721136 Project: 0000000 WFO: 0000000 Local Use: 0000000 Funded: $0.00 Accounting Info: 07900-2024-60-302218-25233-2721136-0000000-0000000 -0000000 Fund: 07900 Appr Year: 2024 Allottee: 60 Report Entity: 302218 Object Class: 25233 Program: 2721136 Project: 0000000 WFO: 0000000 Local Use: 0000000 Funded: -$5,463,616.00 NSN 7540-01-152-8067 OPTIONAL FORM 336 (4-86) Sponsored by GSA FAR (48 CFR) 53.110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333"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before="0" w:after="0"/>
        <w:jc w:val="left"/>
        <w:rPr/>
      </w:pPr>
      <w:r>
        <w:rPr/>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Amir V. Vexler, certify that:</w:t>
      </w:r>
    </w:p>
    <w:p>
      <w:pPr>
        <w:pStyle w:val="TextBody"/>
        <w:bidi w:val="0"/>
        <w:spacing w:lineRule="auto" w:line="333" w:before="0" w:after="0"/>
        <w:jc w:val="both"/>
        <w:rPr>
          <w:color w:val="000000"/>
        </w:rPr>
      </w:pPr>
      <w:r>
        <w:rPr>
          <w:color w:val="000000"/>
        </w:rPr>
        <w:t> </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Centrus Energy Corp.;</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that are reasonably likely to adversely affect the registrant's ability to record, process, summarize and report financial information;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75" w:type="dxa"/>
        <w:jc w:val="left"/>
        <w:tblInd w:w="0" w:type="dxa"/>
        <w:tblLayout w:type="fixed"/>
        <w:tblCellMar>
          <w:top w:w="28" w:type="dxa"/>
          <w:left w:w="28" w:type="dxa"/>
          <w:bottom w:w="28" w:type="dxa"/>
          <w:right w:w="28" w:type="dxa"/>
        </w:tblCellMar>
      </w:tblPr>
      <w:tblGrid>
        <w:gridCol w:w="493"/>
        <w:gridCol w:w="435"/>
        <w:gridCol w:w="437"/>
        <w:gridCol w:w="938"/>
        <w:gridCol w:w="938"/>
        <w:gridCol w:w="133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Amir V. Vexler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Amir V. Vexler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333"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before="0" w:after="0"/>
        <w:jc w:val="left"/>
        <w:rPr/>
      </w:pPr>
      <w:r>
        <w:rPr/>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Kevin J. Harrill, certify that:</w:t>
      </w:r>
    </w:p>
    <w:p>
      <w:pPr>
        <w:pStyle w:val="TextBody"/>
        <w:bidi w:val="0"/>
        <w:spacing w:lineRule="auto" w:line="333" w:before="0" w:after="0"/>
        <w:jc w:val="both"/>
        <w:rPr>
          <w:color w:val="000000"/>
        </w:rPr>
      </w:pPr>
      <w:r>
        <w:rPr>
          <w:color w:val="000000"/>
        </w:rPr>
        <w:t> </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Centrus Energy Corp.;</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that are reasonably likely to adversely affect the registrant's ability to record, process, summarize and report financial information;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390" w:type="dxa"/>
        <w:jc w:val="left"/>
        <w:tblInd w:w="0" w:type="dxa"/>
        <w:tblLayout w:type="fixed"/>
        <w:tblCellMar>
          <w:top w:w="28" w:type="dxa"/>
          <w:left w:w="28" w:type="dxa"/>
          <w:bottom w:w="28" w:type="dxa"/>
          <w:right w:w="28" w:type="dxa"/>
        </w:tblCellMar>
      </w:tblPr>
      <w:tblGrid>
        <w:gridCol w:w="493"/>
        <w:gridCol w:w="435"/>
        <w:gridCol w:w="437"/>
        <w:gridCol w:w="1471"/>
        <w:gridCol w:w="1471"/>
        <w:gridCol w:w="208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Kevin J. Harrill</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Kevin J. Harrill</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CEO AND CFO PURSUANT TO</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Centrus Energy Corp. for the period ended June 30, 2024, as filed with the Securities and Exchange Commission on the date hereof (the “Report”), pursuant to 18 U.S.C. § 1350, Amir V. Vexler, President and Chief Executive Officer, and Kevin J. Harrill, Senior Vice President, Chief Financial Officer, and Treasurer, each hereby certifies, that, to his knowledge:</w:t>
      </w:r>
    </w:p>
    <w:p>
      <w:pPr>
        <w:pStyle w:val="TextBody"/>
        <w:bidi w:val="0"/>
        <w:spacing w:before="0" w:after="0"/>
        <w:jc w:val="left"/>
        <w:rPr/>
      </w:pPr>
      <w:r>
        <w:rPr/>
      </w:r>
    </w:p>
    <w:p>
      <w:pPr>
        <w:pStyle w:val="TextBody"/>
        <w:bidi w:val="0"/>
        <w:spacing w:lineRule="auto" w:line="333"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333"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Centrus Energy Corp.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00"/>
        <w:jc w:val="left"/>
        <w:rPr/>
      </w:pPr>
      <w:r>
        <w:rPr/>
      </w:r>
    </w:p>
    <w:tbl>
      <w:tblPr>
        <w:tblW w:w="4575" w:type="dxa"/>
        <w:jc w:val="left"/>
        <w:tblInd w:w="0" w:type="dxa"/>
        <w:tblLayout w:type="fixed"/>
        <w:tblCellMar>
          <w:top w:w="28" w:type="dxa"/>
          <w:left w:w="28" w:type="dxa"/>
          <w:bottom w:w="28" w:type="dxa"/>
          <w:right w:w="28" w:type="dxa"/>
        </w:tblCellMar>
      </w:tblPr>
      <w:tblGrid>
        <w:gridCol w:w="493"/>
        <w:gridCol w:w="435"/>
        <w:gridCol w:w="437"/>
        <w:gridCol w:w="938"/>
        <w:gridCol w:w="938"/>
        <w:gridCol w:w="133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Amir V. Vexler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Amir V. Vexler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100"/>
        <w:jc w:val="left"/>
        <w:rPr/>
      </w:pPr>
      <w:r>
        <w:rPr/>
      </w:r>
    </w:p>
    <w:tbl>
      <w:tblPr>
        <w:tblW w:w="6390" w:type="dxa"/>
        <w:jc w:val="left"/>
        <w:tblInd w:w="0" w:type="dxa"/>
        <w:tblLayout w:type="fixed"/>
        <w:tblCellMar>
          <w:top w:w="28" w:type="dxa"/>
          <w:left w:w="28" w:type="dxa"/>
          <w:bottom w:w="28" w:type="dxa"/>
          <w:right w:w="28" w:type="dxa"/>
        </w:tblCellMar>
      </w:tblPr>
      <w:tblGrid>
        <w:gridCol w:w="493"/>
        <w:gridCol w:w="435"/>
        <w:gridCol w:w="437"/>
        <w:gridCol w:w="1471"/>
        <w:gridCol w:w="1471"/>
        <w:gridCol w:w="208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Kevin J. Harrill</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Kevin J. Harrill</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65059/000106505924000033/exhibit416thamendmenttor.htm" TargetMode="External"/><Relationship Id="rId5" Type="http://schemas.openxmlformats.org/officeDocument/2006/relationships/hyperlink" Target="https://www.sec.gov/Archives/edgar/data/1065059/000106505924000033/exhibit416thamendmenttor.htm" TargetMode="External"/><Relationship Id="rId6" Type="http://schemas.openxmlformats.org/officeDocument/2006/relationships/hyperlink" Target="https://www.sec.gov/Archives/edgar/data/1065059/000106505924000033/exhibit416thamendmenttor.htm" TargetMode="External"/><Relationship Id="rId7" Type="http://schemas.openxmlformats.org/officeDocument/2006/relationships/hyperlink" Target="https://www.sec.gov/Archives/edgar/data/1065059/000106505924000033/exhibit416thamendmenttor.htm" TargetMode="External"/><Relationship Id="rId8" Type="http://schemas.openxmlformats.org/officeDocument/2006/relationships/hyperlink" Target="https://www.sec.gov/Archives/edgar/data/1065059/000106505924000033/exhibit416thamendmenttor.htm" TargetMode="External"/><Relationship Id="rId9" Type="http://schemas.openxmlformats.org/officeDocument/2006/relationships/hyperlink" Target="https://www.sec.gov/Archives/edgar/data/1065059/000106505924000033/exhibit416thamendmenttor.htm" TargetMode="External"/><Relationship Id="rId10" Type="http://schemas.openxmlformats.org/officeDocument/2006/relationships/hyperlink" Target="https://www.sec.gov/Archives/edgar/data/1065059/000106505924000033/exhibit416thamendmenttor.htm" TargetMode="External"/><Relationship Id="rId11" Type="http://schemas.openxmlformats.org/officeDocument/2006/relationships/hyperlink" Target="https://www.sec.gov/Archives/edgar/data/1065059/000106505924000033/exhibit416thamendmenttor.htm" TargetMode="External"/><Relationship Id="rId12" Type="http://schemas.openxmlformats.org/officeDocument/2006/relationships/hyperlink" Target="https://www.sec.gov/Archives/edgar/data/1065059/000106505924000033/exhibit416thamendmenttor.htm" TargetMode="External"/><Relationship Id="rId13" Type="http://schemas.openxmlformats.org/officeDocument/2006/relationships/hyperlink" Target="https://www.sec.gov/Archives/edgar/data/1065059/000106505924000031/exhibit_101x03312024xhal.htm" TargetMode="External"/><Relationship Id="rId14" Type="http://schemas.openxmlformats.org/officeDocument/2006/relationships/hyperlink" Target="https://www.sec.gov/Archives/edgar/data/1065059/000106505924000031/exhibit_101x03312024xhal.htm" TargetMode="External"/><Relationship Id="rId15" Type="http://schemas.openxmlformats.org/officeDocument/2006/relationships/hyperlink" Target="https://www.sec.gov/Archives/edgar/data/1065059/000106505924000031/exhibit_101x03312024xhal.htm" TargetMode="External"/><Relationship Id="rId16" Type="http://schemas.openxmlformats.org/officeDocument/2006/relationships/hyperlink" Target="https://www.sec.gov/Archives/edgar/data/1065059/000106505924000031/exhibit_101x03312024xhal.htm" TargetMode="External"/><Relationship Id="rId17" Type="http://schemas.openxmlformats.org/officeDocument/2006/relationships/hyperlink" Target="https://www.sec.gov/Archives/edgar/data/1065059/000106505924000031/exhibit_101x03312024xhal.htm" TargetMode="External"/><Relationship Id="rId18" Type="http://schemas.openxmlformats.org/officeDocument/2006/relationships/hyperlink" Target="https://www.sec.gov/Archives/edgar/data/1065059/000106505924000031/exhibit_101x03312024xhal.htm" TargetMode="External"/><Relationship Id="rId19" Type="http://schemas.openxmlformats.org/officeDocument/2006/relationships/hyperlink" Target="https://www.sec.gov/Archives/edgar/data/1065059/000106505924000031/exhibit_101x03312024xhal.htm" TargetMode="External"/><Relationship Id="rId20" Type="http://schemas.openxmlformats.org/officeDocument/2006/relationships/hyperlink" Target="https://www.sec.gov/Archives/edgar/data/1065059/000106505924000031/exhibit_101x03312024xhal.htm" TargetMode="External"/><Relationship Id="rId21" Type="http://schemas.openxmlformats.org/officeDocument/2006/relationships/hyperlink" Target="https://www.sec.gov/Archives/edgar/data/1065059/000106505924000031/exhibit_101x03312024xhal.htm" TargetMode="External"/><Relationship Id="rId22" Type="http://schemas.openxmlformats.org/officeDocument/2006/relationships/hyperlink" Target="https://www.sec.gov/Archives/edgar/data/1065059/000106505924000031/exhibit_101x03312024xhal.htm" TargetMode="External"/><Relationship Id="rId23" Type="http://schemas.openxmlformats.org/officeDocument/2006/relationships/hyperlink" Target="https://www.sec.gov/Archives/edgar/data/1065059/000106505924000031/exhibit_101x03312024xhal.htm" TargetMode="External"/><Relationship Id="rId24" Type="http://schemas.openxmlformats.org/officeDocument/2006/relationships/hyperlink" Target="https://www.sec.gov/Archives/edgar/data/1065059/000106505924000031/exhibit_102x03312024xhal.htm" TargetMode="External"/><Relationship Id="rId25" Type="http://schemas.openxmlformats.org/officeDocument/2006/relationships/hyperlink" Target="https://www.sec.gov/Archives/edgar/data/1065059/000106505924000031/exhibit_102x03312024xhal.htm" TargetMode="External"/><Relationship Id="rId26" Type="http://schemas.openxmlformats.org/officeDocument/2006/relationships/hyperlink" Target="https://www.sec.gov/Archives/edgar/data/1065059/000106505924000031/exhibit_102x03312024xhal.htm" TargetMode="External"/><Relationship Id="rId27" Type="http://schemas.openxmlformats.org/officeDocument/2006/relationships/image" Target="media/image3.jpeg"/><Relationship Id="rId28" Type="http://schemas.openxmlformats.org/officeDocument/2006/relationships/image" Target="media/image4.jpeg"/><Relationship Id="rId29" Type="http://schemas.openxmlformats.org/officeDocument/2006/relationships/image" Target="media/image5.jpeg"/><Relationship Id="rId30" Type="http://schemas.openxmlformats.org/officeDocument/2006/relationships/image" Target="media/image6.jpeg"/><Relationship Id="rId31" Type="http://schemas.openxmlformats.org/officeDocument/2006/relationships/image" Target="media/image7.jpeg"/><Relationship Id="rId32" Type="http://schemas.openxmlformats.org/officeDocument/2006/relationships/image" Target="media/image8.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26996</Words>
  <Characters>146247</Characters>
  <CharactersWithSpaces>172100</CharactersWithSpaces>
  <Paragraphs>2328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exhibit_104x06302024xhal</dc:title>
</cp:coreProperties>
</file>