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6992620" cy="4782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4782820"/>
                    </a:xfrm>
                    <a:prstGeom prst="rect">
                      <a:avLst/>
                    </a:prstGeom>
                    <a:noFill/>
                  </pic:spPr>
                </pic:pic>
              </a:graphicData>
            </a:graphic>
          </wp:anchor>
        </w:drawing>
      </w:r>
    </w:p>
    <w:p>
      <w:pPr>
        <w:spacing w:after="0" w:line="1260"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Emery Richard Dingley III</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CENTRUS ENERGY CORP.</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6901 ROCKLEDGE DRIVE, SUITE 800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CENTRUS ENERGY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LEU</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06/17/2026</w:t>
      </w:r>
    </w:p>
    <w:p>
      <w:pPr>
        <w:spacing w:after="0" w:line="20" w:lineRule="exact"/>
        <w:rPr>
          <w:sz w:val="24"/>
          <w:szCs w:val="24"/>
          <w:color w:val="auto"/>
        </w:rPr>
      </w:pPr>
      <w:r>
        <w:rPr>
          <w:sz w:val="24"/>
          <w:szCs w:val="24"/>
          <w:color w:val="auto"/>
        </w:rPr>
        <w:br w:type="column"/>
      </w:r>
    </w:p>
    <w:p>
      <w:pPr>
        <w:ind w:left="-4" w:right="600" w:firstLine="4"/>
        <w:spacing w:after="0" w:line="261"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6"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636"/>
        <w:spacing w:after="0"/>
        <w:rPr>
          <w:sz w:val="20"/>
          <w:szCs w:val="20"/>
          <w:color w:val="auto"/>
        </w:rPr>
      </w:pPr>
      <w:r>
        <w:rPr>
          <w:rFonts w:ascii="Times New Roman" w:cs="Times New Roman" w:eastAsia="Times New Roman" w:hAnsi="Times New Roman"/>
          <w:sz w:val="17"/>
          <w:szCs w:val="17"/>
          <w:color w:val="0000FF"/>
        </w:rPr>
        <w:t>SVP, GC, CCO &amp; Corp Sec</w:t>
      </w:r>
    </w:p>
    <w:p>
      <w:pPr>
        <w:spacing w:after="0" w:line="402" w:lineRule="exact"/>
        <w:rPr>
          <w:sz w:val="24"/>
          <w:szCs w:val="24"/>
          <w:color w:val="auto"/>
        </w:rPr>
      </w:pPr>
    </w:p>
    <w:p>
      <w:pPr>
        <w:sectPr>
          <w:pgSz w:w="11900" w:h="16838" w:orient="portrait"/>
          <w:cols w:equalWidth="0" w:num="3">
            <w:col w:w="3200" w:space="720"/>
            <w:col w:w="3104" w:space="720"/>
            <w:col w:w="3336"/>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660" w:type="dxa"/>
            <w:vAlign w:val="bottom"/>
            <w:gridSpan w:val="8"/>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6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80" w:type="dxa"/>
            <w:vAlign w:val="bottom"/>
            <w:gridSpan w:val="4"/>
          </w:tcPr>
          <w:p>
            <w:pPr>
              <w:ind w:left="32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BETHESDA</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MD</w:t>
            </w:r>
          </w:p>
        </w:tc>
        <w:tc>
          <w:tcPr>
            <w:tcW w:w="11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20817</w:t>
            </w: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8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8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vMerge w:val="restart"/>
          </w:tcPr>
          <w:p>
            <w:pPr>
              <w:spacing w:after="0"/>
              <w:rPr>
                <w:sz w:val="6"/>
                <w:szCs w:val="6"/>
                <w:color w:val="auto"/>
              </w:rPr>
            </w:pPr>
          </w:p>
        </w:tc>
        <w:tc>
          <w:tcPr>
            <w:tcW w:w="600" w:type="dxa"/>
            <w:vAlign w:val="bottom"/>
            <w:vMerge w:val="restart"/>
          </w:tcPr>
          <w:p>
            <w:pPr>
              <w:ind w:left="180"/>
              <w:spacing w:after="0"/>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20" w:type="dxa"/>
            <w:vAlign w:val="bottom"/>
            <w:gridSpan w:val="2"/>
            <w:vMerge w:val="restart"/>
          </w:tcPr>
          <w:p>
            <w:pPr>
              <w:ind w:left="40"/>
              <w:spacing w:after="0"/>
              <w:rPr>
                <w:sz w:val="20"/>
                <w:szCs w:val="20"/>
                <w:color w:val="auto"/>
              </w:rPr>
            </w:pPr>
            <w:r>
              <w:rPr>
                <w:rFonts w:ascii="Arial" w:cs="Arial" w:eastAsia="Arial" w:hAnsi="Arial"/>
                <w:sz w:val="13"/>
                <w:szCs w:val="13"/>
                <w:color w:val="auto"/>
              </w:rPr>
              <w:t>(Zip)</w:t>
            </w: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2"/>
          </w:tcPr>
          <w:p>
            <w:pPr>
              <w:spacing w:after="0"/>
              <w:rPr>
                <w:sz w:val="10"/>
                <w:szCs w:val="10"/>
                <w:color w:val="auto"/>
              </w:rPr>
            </w:pPr>
          </w:p>
        </w:tc>
        <w:tc>
          <w:tcPr>
            <w:tcW w:w="1720" w:type="dxa"/>
            <w:vAlign w:val="bottom"/>
            <w:tcBorders>
              <w:bottom w:val="single" w:sz="8" w:color="2C2C2C"/>
            </w:tcBorders>
            <w:gridSpan w:val="5"/>
          </w:tcPr>
          <w:p>
            <w:pPr>
              <w:spacing w:after="0"/>
              <w:rPr>
                <w:sz w:val="10"/>
                <w:szCs w:val="10"/>
                <w:color w:val="auto"/>
              </w:rPr>
            </w:pPr>
          </w:p>
        </w:tc>
        <w:tc>
          <w:tcPr>
            <w:tcW w:w="252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20" w:type="dxa"/>
            <w:vAlign w:val="bottom"/>
            <w:gridSpan w:val="2"/>
          </w:tcPr>
          <w:p>
            <w:pPr>
              <w:ind w:left="740"/>
              <w:spacing w:after="0" w:line="130" w:lineRule="exact"/>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1"/>
                <w:szCs w:val="11"/>
                <w:color w:val="auto"/>
              </w:rPr>
            </w:pP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80" w:type="dxa"/>
            <w:vAlign w:val="bottom"/>
            <w:gridSpan w:val="3"/>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2200" w:type="dxa"/>
            <w:vAlign w:val="bottom"/>
            <w:tcBorders>
              <w:bottom w:val="single" w:sz="8" w:color="2C2C2C"/>
            </w:tcBorders>
            <w:gridSpan w:val="2"/>
          </w:tcPr>
          <w:p>
            <w:pPr>
              <w:spacing w:after="0"/>
              <w:rPr>
                <w:sz w:val="7"/>
                <w:szCs w:val="7"/>
                <w:color w:val="auto"/>
              </w:rPr>
            </w:pPr>
          </w:p>
        </w:tc>
        <w:tc>
          <w:tcPr>
            <w:tcW w:w="1720" w:type="dxa"/>
            <w:vAlign w:val="bottom"/>
            <w:tcBorders>
              <w:bottom w:val="single" w:sz="8" w:color="2C2C2C"/>
            </w:tcBorders>
            <w:gridSpan w:val="5"/>
          </w:tcPr>
          <w:p>
            <w:pPr>
              <w:spacing w:after="0"/>
              <w:rPr>
                <w:sz w:val="7"/>
                <w:szCs w:val="7"/>
                <w:color w:val="auto"/>
              </w:rPr>
            </w:pPr>
          </w:p>
        </w:tc>
        <w:tc>
          <w:tcPr>
            <w:tcW w:w="2520" w:type="dxa"/>
            <w:vAlign w:val="bottom"/>
            <w:tcBorders>
              <w:bottom w:val="single" w:sz="8" w:color="2C2C2C"/>
            </w:tcBorders>
            <w:gridSpan w:val="5"/>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5"/>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12"/>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200" w:type="dxa"/>
            <w:vAlign w:val="bottom"/>
          </w:tcPr>
          <w:p>
            <w:pPr>
              <w:spacing w:after="0"/>
              <w:rPr>
                <w:sz w:val="15"/>
                <w:szCs w:val="15"/>
                <w:color w:val="auto"/>
              </w:rPr>
            </w:pP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396</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4"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ind w:left="260"/>
              <w:spacing w:after="0" w:line="144" w:lineRule="exact"/>
              <w:rPr>
                <w:sz w:val="20"/>
                <w:szCs w:val="20"/>
                <w:color w:val="auto"/>
              </w:rPr>
            </w:pPr>
            <w:r>
              <w:rPr>
                <w:rFonts w:ascii="Times New Roman" w:cs="Times New Roman" w:eastAsia="Times New Roman" w:hAnsi="Times New Roman"/>
                <w:sz w:val="13"/>
                <w:szCs w:val="13"/>
                <w:color w:val="0000FF"/>
              </w:rPr>
              <w:t>06/17/2026</w:t>
            </w: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2"/>
                <w:szCs w:val="12"/>
                <w:color w:val="auto"/>
              </w:rPr>
            </w:pPr>
          </w:p>
        </w:tc>
        <w:tc>
          <w:tcPr>
            <w:tcW w:w="78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0000FF"/>
              </w:rPr>
              <w:t>396</w:t>
            </w:r>
          </w:p>
        </w:tc>
        <w:tc>
          <w:tcPr>
            <w:tcW w:w="7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68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ind w:left="24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tcPr>
          <w:p>
            <w:pPr>
              <w:ind w:left="320"/>
              <w:spacing w:after="0" w:line="144" w:lineRule="exact"/>
              <w:rPr>
                <w:sz w:val="20"/>
                <w:szCs w:val="20"/>
                <w:color w:val="auto"/>
              </w:rPr>
            </w:pPr>
            <w:r>
              <w:rPr>
                <w:rFonts w:ascii="Times New Roman" w:cs="Times New Roman" w:eastAsia="Times New Roman" w:hAnsi="Times New Roman"/>
                <w:sz w:val="13"/>
                <w:szCs w:val="13"/>
                <w:color w:val="0000FF"/>
              </w:rPr>
              <w:t>677</w:t>
            </w:r>
          </w:p>
        </w:tc>
        <w:tc>
          <w:tcPr>
            <w:tcW w:w="280" w:type="dxa"/>
            <w:vAlign w:val="bottom"/>
          </w:tcPr>
          <w:p>
            <w:pPr>
              <w:spacing w:after="0"/>
              <w:rPr>
                <w:sz w:val="12"/>
                <w:szCs w:val="12"/>
                <w:color w:val="auto"/>
              </w:rPr>
            </w:pPr>
          </w:p>
        </w:tc>
        <w:tc>
          <w:tcPr>
            <w:tcW w:w="680" w:type="dxa"/>
            <w:vAlign w:val="bottom"/>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-2113915</wp:posOffset>
            </wp:positionV>
            <wp:extent cx="29210" cy="21189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89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share of the Company's Class A Common Stock.</w:t>
      </w:r>
    </w:p>
    <w:p>
      <w:pPr>
        <w:spacing w:after="0" w:line="45" w:lineRule="exact"/>
        <w:rPr>
          <w:rFonts w:ascii="Times New Roman" w:cs="Times New Roman" w:eastAsia="Times New Roman" w:hAnsi="Times New Roman"/>
          <w:sz w:val="13"/>
          <w:szCs w:val="13"/>
          <w:color w:val="008000"/>
        </w:rPr>
      </w:pPr>
    </w:p>
    <w:p>
      <w:pPr>
        <w:ind w:left="40" w:right="340" w:firstLine="3"/>
        <w:spacing w:after="0" w:line="26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132 RSUs shall become respectively vested on each of March 15, 2027, and March 15, 2028, with all remaining RSUs vesting on March 15, 2029, provided that Grantee has been continuously employed with the Company from the date hereof through each of the corresponding vesting dates identified above.</w:t>
      </w:r>
    </w:p>
    <w:p>
      <w:pPr>
        <w:spacing w:after="0" w:line="14"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Vested shares will be delivered to the reporting person as soon as administratively practicable following vesting.</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Richard Emery, Attorney-in-</w:t>
            </w:r>
          </w:p>
        </w:tc>
        <w:tc>
          <w:tcPr>
            <w:tcW w:w="9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w w:val="98"/>
              </w:rPr>
              <w:t>06/22/2026</w:t>
            </w:r>
          </w:p>
        </w:tc>
        <w:tc>
          <w:tcPr>
            <w:tcW w:w="0" w:type="dxa"/>
            <w:vAlign w:val="bottom"/>
          </w:tcPr>
          <w:p>
            <w:pPr>
              <w:spacing w:after="0"/>
              <w:rPr>
                <w:sz w:val="1"/>
                <w:szCs w:val="1"/>
                <w:color w:val="auto"/>
              </w:rPr>
            </w:pPr>
          </w:p>
        </w:tc>
      </w:tr>
      <w:tr>
        <w:trPr>
          <w:trHeight w:val="84"/>
        </w:trPr>
        <w:tc>
          <w:tcPr>
            <w:tcW w:w="1940" w:type="dxa"/>
            <w:vAlign w:val="bottom"/>
            <w:tcBorders>
              <w:top w:val="single" w:sz="8" w:color="auto"/>
            </w:tcBorders>
            <w:gridSpan w:val="2"/>
            <w:vMerge w:val="restart"/>
          </w:tcPr>
          <w:p>
            <w:pPr>
              <w:spacing w:after="0" w:line="189" w:lineRule="exact"/>
              <w:rPr>
                <w:sz w:val="20"/>
                <w:szCs w:val="20"/>
                <w:color w:val="auto"/>
              </w:rPr>
            </w:pPr>
            <w:r>
              <w:rPr>
                <w:rFonts w:ascii="Times New Roman" w:cs="Times New Roman" w:eastAsia="Times New Roman" w:hAnsi="Times New Roman"/>
                <w:sz w:val="17"/>
                <w:szCs w:val="17"/>
                <w:color w:val="0000FF"/>
              </w:rPr>
              <w:t>Fact</w:t>
            </w:r>
          </w:p>
        </w:tc>
        <w:tc>
          <w:tcPr>
            <w:tcW w:w="14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940" w:type="dxa"/>
            <w:vAlign w:val="bottom"/>
            <w:tcBorders>
              <w:top w:val="single" w:sz="8" w:color="auto"/>
            </w:tcBorders>
            <w:gridSpan w:val="2"/>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89192" TargetMode="External"/><Relationship Id="rId14" Type="http://schemas.openxmlformats.org/officeDocument/2006/relationships/hyperlink" Target="http://www.sec.gov/cgi-bin/browse-edgar?action=getcompany&amp;CIK=00010650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2026-06-22T19:46:45Z</dcterms:created>
  <dcterms:modified xsi:type="dcterms:W3CDTF">2026-06-22T19:46:45Z</dcterms:modified>
</cp:coreProperties>
</file>