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648335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72" w:lineRule="exact"/>
        <w:rPr>
          <w:sz w:val="24"/>
          <w:szCs w:val="24"/>
          <w:color w:val="auto"/>
        </w:rPr>
      </w:pPr>
    </w:p>
    <w:p>
      <w:pPr>
        <w:ind w:left="2340" w:hanging="289"/>
        <w:spacing w:after="0"/>
        <w:tabs>
          <w:tab w:leader="none" w:pos="2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1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OR</w:t>
      </w:r>
    </w:p>
    <w:p>
      <w:pPr>
        <w:spacing w:after="0" w:line="115" w:lineRule="exact"/>
        <w:rPr>
          <w:sz w:val="24"/>
          <w:szCs w:val="24"/>
          <w:color w:val="auto"/>
        </w:rPr>
      </w:pPr>
    </w:p>
    <w:p>
      <w:pPr>
        <w:ind w:left="2340" w:hanging="289"/>
        <w:spacing w:after="0"/>
        <w:tabs>
          <w:tab w:leader="none" w:pos="2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Commission file number 1-14287</w:t>
            </w:r>
          </w:p>
        </w:tc>
        <w:tc>
          <w:tcPr>
            <w:tcW w:w="6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352"/>
        </w:trPr>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60" w:type="dxa"/>
            <w:vAlign w:val="bottom"/>
            <w:gridSpan w:val="3"/>
          </w:tcPr>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Centrus Energy Corp.</w:t>
            </w: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0"/>
        </w:trPr>
        <w:tc>
          <w:tcPr>
            <w:tcW w:w="1960" w:type="dxa"/>
            <w:vAlign w:val="bottom"/>
          </w:tcPr>
          <w:p>
            <w:pPr>
              <w:spacing w:after="0"/>
              <w:rPr>
                <w:sz w:val="21"/>
                <w:szCs w:val="21"/>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560" w:type="dxa"/>
            <w:vAlign w:val="bottom"/>
            <w:gridSpan w:val="2"/>
          </w:tcPr>
          <w:p>
            <w:pPr>
              <w:jc w:val="right"/>
              <w:ind w:right="1175"/>
              <w:spacing w:after="0"/>
              <w:rPr>
                <w:sz w:val="20"/>
                <w:szCs w:val="20"/>
                <w:color w:val="auto"/>
              </w:rPr>
            </w:pPr>
            <w:r>
              <w:rPr>
                <w:rFonts w:ascii="Times New Roman" w:cs="Times New Roman" w:eastAsia="Times New Roman" w:hAnsi="Times New Roman"/>
                <w:sz w:val="13"/>
                <w:szCs w:val="13"/>
                <w:b w:val="1"/>
                <w:bCs w:val="1"/>
                <w:color w:val="auto"/>
              </w:rPr>
              <w:t>52-2107911</w:t>
            </w:r>
          </w:p>
        </w:tc>
      </w:tr>
      <w:tr>
        <w:trPr>
          <w:trHeight w:val="178"/>
        </w:trPr>
        <w:tc>
          <w:tcPr>
            <w:tcW w:w="1960" w:type="dxa"/>
            <w:vAlign w:val="bottom"/>
          </w:tcPr>
          <w:p>
            <w:pPr>
              <w:spacing w:after="0"/>
              <w:rPr>
                <w:sz w:val="15"/>
                <w:szCs w:val="15"/>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i w:val="1"/>
                <w:iCs w:val="1"/>
                <w:color w:val="auto"/>
                <w:w w:val="97"/>
              </w:rPr>
              <w:t>(State of incorporation)</w:t>
            </w: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tcPr>
          <w:p>
            <w:pPr>
              <w:jc w:val="center"/>
              <w:ind w:right="575"/>
              <w:spacing w:after="0"/>
              <w:rPr>
                <w:sz w:val="20"/>
                <w:szCs w:val="20"/>
                <w:color w:val="auto"/>
              </w:rPr>
            </w:pPr>
            <w:r>
              <w:rPr>
                <w:rFonts w:ascii="Times New Roman" w:cs="Times New Roman" w:eastAsia="Times New Roman" w:hAnsi="Times New Roman"/>
                <w:sz w:val="13"/>
                <w:szCs w:val="13"/>
                <w:i w:val="1"/>
                <w:iCs w:val="1"/>
                <w:color w:val="auto"/>
                <w:w w:val="97"/>
              </w:rPr>
              <w:t>(I.R.S. Employer Identification No.)</w:t>
            </w:r>
          </w:p>
        </w:tc>
      </w:tr>
      <w:tr>
        <w:trPr>
          <w:trHeight w:val="217"/>
        </w:trPr>
        <w:tc>
          <w:tcPr>
            <w:tcW w:w="1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6901 Rockledge Drive, Suite 800, Bethesda, Maryland 20817</w:t>
            </w: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8"/>
        </w:trPr>
        <w:tc>
          <w:tcPr>
            <w:tcW w:w="1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gridSpan w:val="2"/>
          </w:tcPr>
          <w:p>
            <w:pPr>
              <w:jc w:val="center"/>
              <w:ind w:left="1140"/>
              <w:spacing w:after="0"/>
              <w:rPr>
                <w:sz w:val="20"/>
                <w:szCs w:val="20"/>
                <w:color w:val="auto"/>
              </w:rPr>
            </w:pPr>
            <w:r>
              <w:rPr>
                <w:rFonts w:ascii="Times New Roman" w:cs="Times New Roman" w:eastAsia="Times New Roman" w:hAnsi="Times New Roman"/>
                <w:sz w:val="13"/>
                <w:szCs w:val="13"/>
                <w:b w:val="1"/>
                <w:bCs w:val="1"/>
                <w:color w:val="auto"/>
              </w:rPr>
              <w:t>(301) 564-3200</w:t>
            </w: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02"/>
        </w:trPr>
        <w:tc>
          <w:tcPr>
            <w:tcW w:w="38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3"/>
        </w:trPr>
        <w:tc>
          <w:tcPr>
            <w:tcW w:w="19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900" w:type="dxa"/>
            <w:vAlign w:val="bottom"/>
          </w:tcPr>
          <w:p>
            <w:pPr>
              <w:spacing w:after="0"/>
              <w:rPr>
                <w:sz w:val="16"/>
                <w:szCs w:val="16"/>
                <w:color w:val="auto"/>
              </w:rPr>
            </w:pPr>
          </w:p>
        </w:tc>
        <w:tc>
          <w:tcPr>
            <w:tcW w:w="3560" w:type="dxa"/>
            <w:vAlign w:val="bottom"/>
            <w:gridSpan w:val="3"/>
          </w:tcPr>
          <w:p>
            <w:pPr>
              <w:jc w:val="center"/>
              <w:ind w:left="100"/>
              <w:spacing w:after="0"/>
              <w:rPr>
                <w:sz w:val="20"/>
                <w:szCs w:val="20"/>
                <w:color w:val="auto"/>
              </w:rPr>
            </w:pPr>
            <w:r>
              <w:rPr>
                <w:rFonts w:ascii="Times New Roman" w:cs="Times New Roman" w:eastAsia="Times New Roman" w:hAnsi="Times New Roman"/>
                <w:sz w:val="13"/>
                <w:szCs w:val="13"/>
                <w:color w:val="auto"/>
              </w:rPr>
              <w:t>Trading Symbol</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90"/>
        </w:trPr>
        <w:tc>
          <w:tcPr>
            <w:tcW w:w="3880" w:type="dxa"/>
            <w:vAlign w:val="bottom"/>
            <w:gridSpan w:val="3"/>
          </w:tcPr>
          <w:p>
            <w:pPr>
              <w:jc w:val="center"/>
              <w:ind w:left="973"/>
              <w:spacing w:after="0"/>
              <w:rPr>
                <w:sz w:val="20"/>
                <w:szCs w:val="20"/>
                <w:color w:val="auto"/>
              </w:rPr>
            </w:pPr>
            <w:r>
              <w:rPr>
                <w:rFonts w:ascii="Times New Roman" w:cs="Times New Roman" w:eastAsia="Times New Roman" w:hAnsi="Times New Roman"/>
                <w:sz w:val="13"/>
                <w:szCs w:val="13"/>
                <w:color w:val="auto"/>
              </w:rPr>
              <w:t>Class A Common Stock, par value $0.10 per share</w:t>
            </w:r>
          </w:p>
        </w:tc>
        <w:tc>
          <w:tcPr>
            <w:tcW w:w="1440" w:type="dxa"/>
            <w:vAlign w:val="bottom"/>
          </w:tcPr>
          <w:p>
            <w:pPr>
              <w:spacing w:after="0"/>
              <w:rPr>
                <w:sz w:val="16"/>
                <w:szCs w:val="16"/>
                <w:color w:val="auto"/>
              </w:rPr>
            </w:pPr>
          </w:p>
        </w:tc>
        <w:tc>
          <w:tcPr>
            <w:tcW w:w="2120" w:type="dxa"/>
            <w:vAlign w:val="bottom"/>
            <w:gridSpan w:val="2"/>
          </w:tcPr>
          <w:p>
            <w:pPr>
              <w:jc w:val="center"/>
              <w:ind w:right="1260"/>
              <w:spacing w:after="0"/>
              <w:rPr>
                <w:sz w:val="20"/>
                <w:szCs w:val="20"/>
                <w:color w:val="auto"/>
              </w:rPr>
            </w:pPr>
            <w:r>
              <w:rPr>
                <w:rFonts w:ascii="Times New Roman" w:cs="Times New Roman" w:eastAsia="Times New Roman" w:hAnsi="Times New Roman"/>
                <w:sz w:val="13"/>
                <w:szCs w:val="13"/>
                <w:color w:val="auto"/>
              </w:rPr>
              <w:t>LEU</w:t>
            </w:r>
          </w:p>
        </w:tc>
        <w:tc>
          <w:tcPr>
            <w:tcW w:w="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NYSE</w:t>
            </w:r>
          </w:p>
        </w:tc>
      </w:tr>
    </w:tbl>
    <w:p>
      <w:pPr>
        <w:spacing w:after="0" w:line="261" w:lineRule="exact"/>
        <w:rPr>
          <w:sz w:val="24"/>
          <w:szCs w:val="24"/>
          <w:color w:val="auto"/>
        </w:rPr>
      </w:pPr>
    </w:p>
    <w:p>
      <w:pPr>
        <w:ind w:right="24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0"/>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spacing w:after="0" w:line="28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00" w:top="1084" w:right="379" w:bottom="1440" w:gutter="0" w:footer="0" w:header="0"/>
        </w:sectPr>
      </w:pPr>
    </w:p>
    <w:p>
      <w:pPr>
        <w:spacing w:after="0" w:line="52" w:lineRule="exact"/>
        <w:rPr>
          <w:sz w:val="24"/>
          <w:szCs w:val="24"/>
          <w:color w:val="auto"/>
        </w:rPr>
      </w:pPr>
    </w:p>
    <w:p>
      <w:pPr>
        <w:ind w:left="20" w:right="560"/>
        <w:spacing w:after="0" w:line="328" w:lineRule="auto"/>
        <w:rPr>
          <w:sz w:val="20"/>
          <w:szCs w:val="20"/>
          <w:color w:val="auto"/>
        </w:rPr>
      </w:pPr>
      <w:r>
        <w:rPr>
          <w:rFonts w:ascii="Times New Roman" w:cs="Times New Roman" w:eastAsia="Times New Roman" w:hAnsi="Times New Roman"/>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9" w:lineRule="exact"/>
        <w:rPr>
          <w:sz w:val="24"/>
          <w:szCs w:val="24"/>
          <w:color w:val="auto"/>
        </w:rPr>
      </w:pPr>
    </w:p>
    <w:p>
      <w:pPr>
        <w:sectPr>
          <w:pgSz w:w="11900" w:h="16838" w:orient="portrait"/>
          <w:cols w:equalWidth="0" w:num="6">
            <w:col w:w="2040" w:space="720"/>
            <w:col w:w="120" w:space="680"/>
            <w:col w:w="2040" w:space="720"/>
            <w:col w:w="120" w:space="700"/>
            <w:col w:w="2020" w:space="720"/>
            <w:col w:w="1340"/>
          </w:cols>
          <w:pgMar w:left="300" w:top="1084" w:right="379" w:bottom="1440" w:gutter="0" w:footer="0" w:header="0"/>
          <w:type w:val="continuous"/>
        </w:sectPr>
      </w:pPr>
    </w:p>
    <w:p>
      <w:pPr>
        <w:spacing w:after="0" w:line="7" w:lineRule="exact"/>
        <w:rPr>
          <w:sz w:val="24"/>
          <w:szCs w:val="24"/>
          <w:color w:val="auto"/>
        </w:rPr>
      </w:pPr>
    </w:p>
    <w:p>
      <w:pPr>
        <w:ind w:right="220"/>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64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5"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As of May 1, 2026, there were 18,953,594 shares of the registrant’s Class A Common Stock, par value $0.10 per share, and 719,200 shares of the registrant’s Class B Common Stock, par value $0.10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873125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367030</wp:posOffset>
            </wp:positionV>
            <wp:extent cx="708914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3335"/>
                    </a:xfrm>
                    <a:prstGeom prst="rect">
                      <a:avLst/>
                    </a:prstGeom>
                    <a:noFill/>
                  </pic:spPr>
                </pic:pic>
              </a:graphicData>
            </a:graphic>
          </wp:anchor>
        </w:drawing>
      </w:r>
    </w:p>
    <w:p>
      <w:pPr>
        <w:sectPr>
          <w:pgSz w:w="11900" w:h="16838" w:orient="portrait"/>
          <w:cols w:equalWidth="0" w:num="1">
            <w:col w:w="11220"/>
          </w:cols>
          <w:pgMar w:left="300" w:top="1084"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56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960" w:type="dxa"/>
            <w:vAlign w:val="bottom"/>
            <w:gridSpan w:val="8"/>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tc>
        <w:tc>
          <w:tcPr>
            <w:tcW w:w="9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960" w:type="dxa"/>
            <w:vAlign w:val="bottom"/>
            <w:gridSpan w:val="8"/>
            <w:vMerge w:val="continue"/>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1.</w:t>
            </w:r>
          </w:p>
        </w:tc>
        <w:tc>
          <w:tcPr>
            <w:tcW w:w="380" w:type="dxa"/>
            <w:vAlign w:val="bottom"/>
            <w:shd w:val="clear" w:color="auto" w:fill="CCEEFF"/>
          </w:tcPr>
          <w:p>
            <w:pPr>
              <w:spacing w:after="0"/>
              <w:rPr>
                <w:sz w:val="13"/>
                <w:szCs w:val="13"/>
                <w:color w:val="auto"/>
              </w:rPr>
            </w:pPr>
          </w:p>
        </w:tc>
        <w:tc>
          <w:tcPr>
            <w:tcW w:w="9480" w:type="dxa"/>
            <w:vAlign w:val="bottom"/>
            <w:gridSpan w:val="12"/>
            <w:shd w:val="clear" w:color="auto" w:fill="CCEEFF"/>
          </w:tcPr>
          <w:p>
            <w:pPr>
              <w:ind w:left="380"/>
              <w:spacing w:after="0" w:line="159" w:lineRule="exact"/>
              <w:rPr>
                <w:sz w:val="20"/>
                <w:szCs w:val="20"/>
                <w:color w:val="auto"/>
              </w:rPr>
            </w:pPr>
            <w:r>
              <w:rPr>
                <w:rFonts w:ascii="Times New Roman" w:cs="Times New Roman" w:eastAsia="Times New Roman" w:hAnsi="Times New Roman"/>
                <w:sz w:val="16"/>
                <w:szCs w:val="16"/>
                <w:color w:val="0000FF"/>
              </w:rPr>
              <w:t>Financial Statements (Unaudited):</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0" w:type="dxa"/>
            <w:vAlign w:val="bottom"/>
            <w:gridSpan w:val="10"/>
          </w:tcPr>
          <w:p>
            <w:pPr>
              <w:spacing w:after="0" w:line="159" w:lineRule="exact"/>
              <w:rPr>
                <w:sz w:val="20"/>
                <w:szCs w:val="20"/>
                <w:color w:val="auto"/>
              </w:rPr>
            </w:pPr>
            <w:r>
              <w:rPr>
                <w:rFonts w:ascii="Times New Roman" w:cs="Times New Roman" w:eastAsia="Times New Roman" w:hAnsi="Times New Roman"/>
                <w:sz w:val="16"/>
                <w:szCs w:val="16"/>
                <w:color w:val="0000FF"/>
              </w:rPr>
              <w:t>Condensed Consolidated Balance Sheets at March 31, 2026 and December 31, 2025</w:t>
            </w:r>
          </w:p>
        </w:tc>
        <w:tc>
          <w:tcPr>
            <w:tcW w:w="560" w:type="dxa"/>
            <w:vAlign w:val="bottom"/>
            <w:gridSpan w:val="4"/>
          </w:tcPr>
          <w:p>
            <w:pPr>
              <w:jc w:val="center"/>
              <w:ind w:left="322"/>
              <w:spacing w:after="0" w:line="159" w:lineRule="exact"/>
              <w:rPr>
                <w:sz w:val="20"/>
                <w:szCs w:val="20"/>
                <w:color w:val="auto"/>
              </w:rPr>
            </w:pPr>
            <w:r>
              <w:rPr>
                <w:rFonts w:ascii="Times New Roman" w:cs="Times New Roman" w:eastAsia="Times New Roman" w:hAnsi="Times New Roman"/>
                <w:sz w:val="16"/>
                <w:szCs w:val="16"/>
                <w:color w:val="0000FF"/>
                <w:w w:val="99"/>
              </w:rPr>
              <w:t>7</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380" w:type="dxa"/>
            <w:vAlign w:val="bottom"/>
            <w:tcBorders>
              <w:bottom w:val="single" w:sz="8" w:color="0000FF"/>
            </w:tcBorders>
            <w:gridSpan w:val="9"/>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6"/>
              </w:rPr>
              <w:t>Condensed Consolidated Statements of Operations and Comprehensive Income for the Three Months Ended March 31, 2026 and 2025</w:t>
            </w:r>
          </w:p>
        </w:tc>
        <w:tc>
          <w:tcPr>
            <w:tcW w:w="6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0000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8</w:t>
            </w: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0" w:type="dxa"/>
            <w:vAlign w:val="bottom"/>
            <w:gridSpan w:val="10"/>
          </w:tcPr>
          <w:p>
            <w:pPr>
              <w:spacing w:after="0" w:line="159" w:lineRule="exact"/>
              <w:rPr>
                <w:sz w:val="20"/>
                <w:szCs w:val="20"/>
                <w:color w:val="auto"/>
              </w:rPr>
            </w:pPr>
            <w:r>
              <w:rPr>
                <w:rFonts w:ascii="Times New Roman" w:cs="Times New Roman" w:eastAsia="Times New Roman" w:hAnsi="Times New Roman"/>
                <w:sz w:val="16"/>
                <w:szCs w:val="16"/>
                <w:color w:val="0000FF"/>
              </w:rPr>
              <w:t>Condensed Consolidated Statements of Cash Flows for the Three Months Ended March 31, 2026 and 2025</w:t>
            </w:r>
          </w:p>
        </w:tc>
        <w:tc>
          <w:tcPr>
            <w:tcW w:w="560" w:type="dxa"/>
            <w:vAlign w:val="bottom"/>
            <w:gridSpan w:val="4"/>
          </w:tcPr>
          <w:p>
            <w:pPr>
              <w:jc w:val="center"/>
              <w:ind w:left="322"/>
              <w:spacing w:after="0" w:line="159" w:lineRule="exact"/>
              <w:rPr>
                <w:sz w:val="20"/>
                <w:szCs w:val="20"/>
                <w:color w:val="auto"/>
              </w:rPr>
            </w:pPr>
            <w:r>
              <w:rPr>
                <w:rFonts w:ascii="Times New Roman" w:cs="Times New Roman" w:eastAsia="Times New Roman" w:hAnsi="Times New Roman"/>
                <w:sz w:val="16"/>
                <w:szCs w:val="16"/>
                <w:color w:val="0000FF"/>
                <w:w w:val="99"/>
              </w:rPr>
              <w:t>9</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0000FF"/>
            </w:tcBorders>
            <w:gridSpan w:val="8"/>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6"/>
              </w:rPr>
              <w:t>Condensed Consolidated Statements of Stockholders’ Equity for the Three Months Ended March 31, 2026 and 2025</w:t>
            </w:r>
          </w:p>
        </w:tc>
        <w:tc>
          <w:tcPr>
            <w:tcW w:w="1760" w:type="dxa"/>
            <w:vAlign w:val="bottom"/>
            <w:tcBorders>
              <w:bottom w:val="single" w:sz="8" w:color="CCEEFF"/>
            </w:tcBorders>
            <w:gridSpan w:val="2"/>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11</w:t>
            </w:r>
          </w:p>
        </w:tc>
        <w:tc>
          <w:tcPr>
            <w:tcW w:w="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0" w:type="dxa"/>
            <w:vAlign w:val="bottom"/>
            <w:gridSpan w:val="10"/>
          </w:tcPr>
          <w:p>
            <w:pPr>
              <w:spacing w:after="0" w:line="159" w:lineRule="exact"/>
              <w:rPr>
                <w:sz w:val="20"/>
                <w:szCs w:val="20"/>
                <w:color w:val="auto"/>
              </w:rPr>
            </w:pPr>
            <w:r>
              <w:rPr>
                <w:rFonts w:ascii="Times New Roman" w:cs="Times New Roman" w:eastAsia="Times New Roman" w:hAnsi="Times New Roman"/>
                <w:sz w:val="16"/>
                <w:szCs w:val="16"/>
                <w:color w:val="0000FF"/>
              </w:rPr>
              <w:t>Notes to Condensed Consolidated Financial Statements</w:t>
            </w:r>
          </w:p>
        </w:tc>
        <w:tc>
          <w:tcPr>
            <w:tcW w:w="960" w:type="dxa"/>
            <w:vAlign w:val="bottom"/>
            <w:gridSpan w:val="5"/>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2.</w:t>
            </w:r>
          </w:p>
        </w:tc>
        <w:tc>
          <w:tcPr>
            <w:tcW w:w="380" w:type="dxa"/>
            <w:vAlign w:val="bottom"/>
            <w:shd w:val="clear" w:color="auto" w:fill="CCEEFF"/>
          </w:tcPr>
          <w:p>
            <w:pPr>
              <w:spacing w:after="0"/>
              <w:rPr>
                <w:sz w:val="13"/>
                <w:szCs w:val="13"/>
                <w:color w:val="auto"/>
              </w:rPr>
            </w:pPr>
          </w:p>
        </w:tc>
        <w:tc>
          <w:tcPr>
            <w:tcW w:w="9480" w:type="dxa"/>
            <w:vAlign w:val="bottom"/>
            <w:gridSpan w:val="12"/>
            <w:shd w:val="clear" w:color="auto" w:fill="CCEEFF"/>
          </w:tcPr>
          <w:p>
            <w:pPr>
              <w:ind w:left="380"/>
              <w:spacing w:after="0" w:line="159"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960" w:type="dxa"/>
            <w:vAlign w:val="bottom"/>
            <w:gridSpan w:val="5"/>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31</w:t>
            </w: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0000FF"/>
                <w:w w:val="92"/>
              </w:rPr>
              <w:t>Item 3.</w:t>
            </w:r>
          </w:p>
        </w:tc>
        <w:tc>
          <w:tcPr>
            <w:tcW w:w="380" w:type="dxa"/>
            <w:vAlign w:val="bottom"/>
          </w:tcPr>
          <w:p>
            <w:pPr>
              <w:spacing w:after="0"/>
              <w:rPr>
                <w:sz w:val="13"/>
                <w:szCs w:val="13"/>
                <w:color w:val="auto"/>
              </w:rPr>
            </w:pPr>
          </w:p>
        </w:tc>
        <w:tc>
          <w:tcPr>
            <w:tcW w:w="9480" w:type="dxa"/>
            <w:vAlign w:val="bottom"/>
            <w:gridSpan w:val="12"/>
          </w:tcPr>
          <w:p>
            <w:pPr>
              <w:ind w:left="380"/>
              <w:spacing w:after="0" w:line="159"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960" w:type="dxa"/>
            <w:vAlign w:val="bottom"/>
            <w:gridSpan w:val="5"/>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56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Item 4.</w:t>
            </w:r>
          </w:p>
        </w:tc>
        <w:tc>
          <w:tcPr>
            <w:tcW w:w="9480" w:type="dxa"/>
            <w:vAlign w:val="bottom"/>
            <w:gridSpan w:val="12"/>
            <w:shd w:val="clear" w:color="auto" w:fill="CCEEFF"/>
          </w:tcPr>
          <w:p>
            <w:pPr>
              <w:ind w:left="380"/>
              <w:spacing w:after="0" w:line="159" w:lineRule="exact"/>
              <w:rPr>
                <w:sz w:val="20"/>
                <w:szCs w:val="20"/>
                <w:color w:val="auto"/>
              </w:rPr>
            </w:pPr>
            <w:r>
              <w:rPr>
                <w:rFonts w:ascii="Times New Roman" w:cs="Times New Roman" w:eastAsia="Times New Roman" w:hAnsi="Times New Roman"/>
                <w:sz w:val="16"/>
                <w:szCs w:val="16"/>
                <w:color w:val="0000FF"/>
              </w:rPr>
              <w:t>Controls and Procedures</w:t>
            </w:r>
          </w:p>
        </w:tc>
        <w:tc>
          <w:tcPr>
            <w:tcW w:w="960" w:type="dxa"/>
            <w:vAlign w:val="bottom"/>
            <w:gridSpan w:val="5"/>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56</w:t>
            </w: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8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tc>
      </w:tr>
      <w:tr>
        <w:trPr>
          <w:trHeight w:val="159"/>
        </w:trPr>
        <w:tc>
          <w:tcPr>
            <w:tcW w:w="20" w:type="dxa"/>
            <w:vAlign w:val="bottom"/>
          </w:tcPr>
          <w:p>
            <w:pPr>
              <w:spacing w:after="0"/>
              <w:rPr>
                <w:sz w:val="13"/>
                <w:szCs w:val="13"/>
                <w:color w:val="auto"/>
              </w:rPr>
            </w:pPr>
          </w:p>
        </w:tc>
        <w:tc>
          <w:tcPr>
            <w:tcW w:w="92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0000FF"/>
              </w:rPr>
              <w:t>Item 1.</w:t>
            </w:r>
          </w:p>
        </w:tc>
        <w:tc>
          <w:tcPr>
            <w:tcW w:w="2500" w:type="dxa"/>
            <w:vAlign w:val="bottom"/>
            <w:gridSpan w:val="6"/>
          </w:tcPr>
          <w:p>
            <w:pPr>
              <w:ind w:left="280"/>
              <w:spacing w:after="0" w:line="159" w:lineRule="exact"/>
              <w:rPr>
                <w:sz w:val="20"/>
                <w:szCs w:val="20"/>
                <w:color w:val="auto"/>
              </w:rPr>
            </w:pPr>
            <w:r>
              <w:rPr>
                <w:rFonts w:ascii="Times New Roman" w:cs="Times New Roman" w:eastAsia="Times New Roman" w:hAnsi="Times New Roman"/>
                <w:sz w:val="16"/>
                <w:szCs w:val="16"/>
                <w:color w:val="0000FF"/>
              </w:rPr>
              <w:t>Legal Proceedings</w:t>
            </w:r>
          </w:p>
        </w:tc>
        <w:tc>
          <w:tcPr>
            <w:tcW w:w="7840" w:type="dxa"/>
            <w:vAlign w:val="bottom"/>
            <w:gridSpan w:val="3"/>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57</w:t>
            </w:r>
          </w:p>
        </w:tc>
      </w:tr>
      <w:tr>
        <w:trPr>
          <w:trHeight w:val="22"/>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4"/>
              </w:rPr>
              <w:t>Item 1A.</w:t>
            </w:r>
          </w:p>
        </w:tc>
        <w:tc>
          <w:tcPr>
            <w:tcW w:w="360" w:type="dxa"/>
            <w:vAlign w:val="bottom"/>
            <w:gridSpan w:val="2"/>
            <w:shd w:val="clear" w:color="auto" w:fill="CCEEFF"/>
          </w:tcPr>
          <w:p>
            <w:pPr>
              <w:spacing w:after="0"/>
              <w:rPr>
                <w:sz w:val="13"/>
                <w:szCs w:val="13"/>
                <w:color w:val="auto"/>
              </w:rPr>
            </w:pPr>
          </w:p>
        </w:tc>
        <w:tc>
          <w:tcPr>
            <w:tcW w:w="2500" w:type="dxa"/>
            <w:vAlign w:val="bottom"/>
            <w:gridSpan w:val="6"/>
            <w:shd w:val="clear" w:color="auto" w:fill="CCEEFF"/>
          </w:tcPr>
          <w:p>
            <w:pPr>
              <w:ind w:left="280"/>
              <w:spacing w:after="0" w:line="159" w:lineRule="exact"/>
              <w:rPr>
                <w:sz w:val="20"/>
                <w:szCs w:val="20"/>
                <w:color w:val="auto"/>
              </w:rPr>
            </w:pPr>
            <w:r>
              <w:rPr>
                <w:rFonts w:ascii="Times New Roman" w:cs="Times New Roman" w:eastAsia="Times New Roman" w:hAnsi="Times New Roman"/>
                <w:sz w:val="16"/>
                <w:szCs w:val="16"/>
                <w:color w:val="0000FF"/>
              </w:rPr>
              <w:t>Risk Factors</w:t>
            </w:r>
          </w:p>
        </w:tc>
        <w:tc>
          <w:tcPr>
            <w:tcW w:w="7840" w:type="dxa"/>
            <w:vAlign w:val="bottom"/>
            <w:gridSpan w:val="3"/>
            <w:shd w:val="clear" w:color="auto" w:fill="CCEEFF"/>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57</w:t>
            </w: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56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color w:val="0000FF"/>
              </w:rPr>
              <w:t>Item 5.</w:t>
            </w:r>
          </w:p>
        </w:tc>
        <w:tc>
          <w:tcPr>
            <w:tcW w:w="360" w:type="dxa"/>
            <w:vAlign w:val="bottom"/>
            <w:gridSpan w:val="2"/>
          </w:tcPr>
          <w:p>
            <w:pPr>
              <w:spacing w:after="0"/>
              <w:rPr>
                <w:sz w:val="13"/>
                <w:szCs w:val="13"/>
                <w:color w:val="auto"/>
              </w:rPr>
            </w:pPr>
          </w:p>
        </w:tc>
        <w:tc>
          <w:tcPr>
            <w:tcW w:w="2500" w:type="dxa"/>
            <w:vAlign w:val="bottom"/>
            <w:gridSpan w:val="6"/>
          </w:tcPr>
          <w:p>
            <w:pPr>
              <w:ind w:left="280"/>
              <w:spacing w:after="0" w:line="159" w:lineRule="exact"/>
              <w:rPr>
                <w:sz w:val="20"/>
                <w:szCs w:val="20"/>
                <w:color w:val="auto"/>
              </w:rPr>
            </w:pPr>
            <w:r>
              <w:rPr>
                <w:rFonts w:ascii="Times New Roman" w:cs="Times New Roman" w:eastAsia="Times New Roman" w:hAnsi="Times New Roman"/>
                <w:sz w:val="16"/>
                <w:szCs w:val="16"/>
                <w:color w:val="0000FF"/>
              </w:rPr>
              <w:t>Other Information</w:t>
            </w:r>
          </w:p>
        </w:tc>
        <w:tc>
          <w:tcPr>
            <w:tcW w:w="7840" w:type="dxa"/>
            <w:vAlign w:val="bottom"/>
            <w:gridSpan w:val="3"/>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57</w:t>
            </w:r>
          </w:p>
        </w:tc>
      </w:tr>
      <w:tr>
        <w:trPr>
          <w:trHeight w:val="22"/>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6.</w:t>
            </w:r>
          </w:p>
        </w:tc>
        <w:tc>
          <w:tcPr>
            <w:tcW w:w="480" w:type="dxa"/>
            <w:vAlign w:val="bottom"/>
            <w:gridSpan w:val="3"/>
            <w:shd w:val="clear" w:color="auto" w:fill="CCEEFF"/>
          </w:tcPr>
          <w:p>
            <w:pPr>
              <w:spacing w:after="0"/>
              <w:rPr>
                <w:sz w:val="13"/>
                <w:szCs w:val="13"/>
                <w:color w:val="auto"/>
              </w:rPr>
            </w:pPr>
          </w:p>
        </w:tc>
        <w:tc>
          <w:tcPr>
            <w:tcW w:w="2500" w:type="dxa"/>
            <w:vAlign w:val="bottom"/>
            <w:gridSpan w:val="6"/>
            <w:shd w:val="clear" w:color="auto" w:fill="CCEEFF"/>
          </w:tcPr>
          <w:p>
            <w:pPr>
              <w:ind w:left="280"/>
              <w:spacing w:after="0" w:line="159" w:lineRule="exact"/>
              <w:rPr>
                <w:sz w:val="20"/>
                <w:szCs w:val="20"/>
                <w:color w:val="auto"/>
              </w:rPr>
            </w:pPr>
            <w:r>
              <w:rPr>
                <w:rFonts w:ascii="Times New Roman" w:cs="Times New Roman" w:eastAsia="Times New Roman" w:hAnsi="Times New Roman"/>
                <w:sz w:val="16"/>
                <w:szCs w:val="16"/>
                <w:color w:val="0000FF"/>
              </w:rPr>
              <w:t>Exhibits</w:t>
            </w:r>
          </w:p>
        </w:tc>
        <w:tc>
          <w:tcPr>
            <w:tcW w:w="7840" w:type="dxa"/>
            <w:vAlign w:val="bottom"/>
            <w:gridSpan w:val="3"/>
            <w:shd w:val="clear" w:color="auto" w:fill="CCEEFF"/>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58</w:t>
            </w: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0000FF"/>
              </w:rPr>
              <w:t>Signatures</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40" w:type="dxa"/>
            <w:vAlign w:val="bottom"/>
            <w:gridSpan w:val="3"/>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59</w:t>
            </w:r>
          </w:p>
        </w:tc>
      </w:tr>
      <w:tr>
        <w:trPr>
          <w:trHeight w:val="924"/>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tcPr>
          <w:p>
            <w:pPr>
              <w:jc w:val="right"/>
              <w:ind w:right="4963"/>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7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20" w:type="dxa"/>
            <w:vAlign w:val="bottom"/>
          </w:tcPr>
          <w:p>
            <w:pPr>
              <w:ind w:left="1080"/>
              <w:spacing w:after="0"/>
              <w:rPr>
                <w:sz w:val="20"/>
                <w:szCs w:val="20"/>
                <w:color w:val="auto"/>
              </w:rPr>
            </w:pPr>
            <w:r>
              <w:rPr>
                <w:rFonts w:ascii="Times New Roman" w:cs="Times New Roman" w:eastAsia="Times New Roman" w:hAnsi="Times New Roman"/>
                <w:sz w:val="16"/>
                <w:szCs w:val="16"/>
                <w:b w:val="1"/>
                <w:bCs w:val="1"/>
                <w:color w:val="auto"/>
              </w:rPr>
              <w:t>Glossary of Certain Terms and Abbreviations</w:t>
            </w:r>
          </w:p>
        </w:tc>
      </w:tr>
      <w:tr>
        <w:trPr>
          <w:trHeight w:val="374"/>
        </w:trPr>
        <w:tc>
          <w:tcPr>
            <w:tcW w:w="2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Centrus Energy Corp. and Related Entities</w:t>
            </w:r>
          </w:p>
        </w:tc>
        <w:tc>
          <w:tcPr>
            <w:tcW w:w="8220" w:type="dxa"/>
            <w:vAlign w:val="bottom"/>
          </w:tcPr>
          <w:p>
            <w:pPr>
              <w:spacing w:after="0"/>
              <w:rPr>
                <w:sz w:val="24"/>
                <w:szCs w:val="24"/>
                <w:color w:val="auto"/>
              </w:rPr>
            </w:pPr>
          </w:p>
        </w:tc>
      </w:tr>
      <w:tr>
        <w:trPr>
          <w:trHeight w:val="186"/>
        </w:trPr>
        <w:tc>
          <w:tcPr>
            <w:tcW w:w="20" w:type="dxa"/>
            <w:vAlign w:val="bottom"/>
            <w:shd w:val="clear" w:color="auto" w:fill="CCEEFF"/>
          </w:tcPr>
          <w:p>
            <w:pPr>
              <w:spacing w:after="0"/>
              <w:rPr>
                <w:sz w:val="16"/>
                <w:szCs w:val="16"/>
                <w:color w:val="auto"/>
              </w:rPr>
            </w:pPr>
          </w:p>
        </w:tc>
        <w:tc>
          <w:tcPr>
            <w:tcW w:w="2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ACO</w:t>
            </w:r>
          </w:p>
        </w:tc>
        <w:tc>
          <w:tcPr>
            <w:tcW w:w="440" w:type="dxa"/>
            <w:vAlign w:val="bottom"/>
            <w:shd w:val="clear" w:color="auto" w:fill="CCEEFF"/>
          </w:tcPr>
          <w:p>
            <w:pPr>
              <w:spacing w:after="0"/>
              <w:rPr>
                <w:sz w:val="16"/>
                <w:szCs w:val="16"/>
                <w:color w:val="auto"/>
              </w:rPr>
            </w:pPr>
          </w:p>
        </w:tc>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American Centrifuge Operating LLC, a subsidiary of Centrus</w:t>
            </w: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Board</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Centrus Energy Corp.’s Board of Directors</w:t>
            </w: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Centrus</w:t>
            </w:r>
          </w:p>
        </w:tc>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Centrus Energy Corp.</w:t>
            </w: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Enrichment Corp.</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United States Enrichment Corporation, a subsidiary of Centrus</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Paducah GDP</w:t>
            </w:r>
          </w:p>
        </w:tc>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Paducah Gaseous Diffusion Plant, an enrichment plant in Paducah, Kentucky, formerly operated by Enrichment Corp.</w:t>
            </w: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Piketon</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Production facility in Piketon, Ohio</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Portsmouth GDP</w:t>
            </w:r>
          </w:p>
        </w:tc>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Portsmouth Gaseous Diffusion Plant, an enrichment plant near Portsmouth, Ohio, formerly operated by Enrichment Corp.</w:t>
            </w:r>
          </w:p>
        </w:tc>
      </w:tr>
      <w:tr>
        <w:trPr>
          <w:trHeight w:val="191"/>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USEC-Government</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Enrichment Corp. prior to 1993, a wholly-owned government corporation prior to its privatization in July 1998</w:t>
            </w:r>
          </w:p>
        </w:tc>
      </w:tr>
      <w:tr>
        <w:trPr>
          <w:trHeight w:val="303"/>
        </w:trPr>
        <w:tc>
          <w:tcPr>
            <w:tcW w:w="2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Other Terms and Abbreviations</w:t>
            </w:r>
          </w:p>
        </w:tc>
        <w:tc>
          <w:tcPr>
            <w:tcW w:w="8220" w:type="dxa"/>
            <w:vAlign w:val="bottom"/>
          </w:tcPr>
          <w:p>
            <w:pPr>
              <w:spacing w:after="0"/>
              <w:rPr>
                <w:sz w:val="24"/>
                <w:szCs w:val="24"/>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0% Convertible Notes</w:t>
            </w:r>
          </w:p>
        </w:tc>
        <w:tc>
          <w:tcPr>
            <w:tcW w:w="1120" w:type="dxa"/>
            <w:vAlign w:val="bottom"/>
            <w:tcBorders>
              <w:bottom w:val="single" w:sz="8" w:color="CCEEFF"/>
            </w:tcBorders>
            <w:gridSpan w:val="2"/>
            <w:shd w:val="clear" w:color="auto" w:fill="CCEEFF"/>
          </w:tcPr>
          <w:p>
            <w:pPr>
              <w:spacing w:after="0"/>
              <w:rPr>
                <w:sz w:val="17"/>
                <w:szCs w:val="17"/>
                <w:color w:val="auto"/>
              </w:rPr>
            </w:pPr>
          </w:p>
        </w:tc>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0% Convertible Senior Notes, maturing August 2032 unless repurchased, redeemed or converted</w:t>
            </w:r>
          </w:p>
        </w:tc>
      </w:tr>
      <w:tr>
        <w:trPr>
          <w:trHeight w:val="191"/>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2.25% Convertible Notes</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2.25% Convertible Senior Notes, maturing November 2030 unless repurchased, redeemed or converted</w:t>
            </w:r>
          </w:p>
        </w:tc>
      </w:tr>
      <w:tr>
        <w:trPr>
          <w:trHeight w:val="22"/>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2002 DOE-USEC Agreement</w:t>
            </w:r>
          </w:p>
        </w:tc>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June 17, 2002 agreement between Centrus (then known as USEC Inc.) and the DOE</w:t>
            </w: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5B Cylinders</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Storage cylinders for HALEU UF</w:t>
            </w:r>
            <w:r>
              <w:rPr>
                <w:rFonts w:ascii="Times New Roman" w:cs="Times New Roman" w:eastAsia="Times New Roman" w:hAnsi="Times New Roman"/>
                <w:sz w:val="9"/>
                <w:szCs w:val="9"/>
                <w:color w:val="auto"/>
              </w:rPr>
              <w:t>6</w:t>
            </w:r>
            <w:r>
              <w:rPr>
                <w:rFonts w:ascii="Times New Roman" w:cs="Times New Roman" w:eastAsia="Times New Roman" w:hAnsi="Times New Roman"/>
                <w:sz w:val="14"/>
                <w:szCs w:val="14"/>
                <w:color w:val="auto"/>
              </w:rPr>
              <w:t xml:space="preserve"> produced by the HALEU demonstration cascade</w:t>
            </w: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8.25% Notes</w:t>
            </w:r>
          </w:p>
        </w:tc>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8.25% Notes, originally maturing February 2027, redeemed in March 2025</w:t>
            </w:r>
          </w:p>
        </w:tc>
      </w:tr>
      <w:tr>
        <w:trPr>
          <w:trHeight w:val="176"/>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American Centrifuge</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Advanced uranium enrichment gas centrifuge technology previously developed, based on the proven workable U.S. centrifuge</w:t>
            </w:r>
          </w:p>
        </w:tc>
      </w:tr>
      <w:tr>
        <w:trPr>
          <w:trHeight w:val="184"/>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technology developed by DOE in the mid-1980s and utilized in a demonstration facility in 2012-2013</w:t>
            </w:r>
          </w:p>
        </w:tc>
      </w:tr>
      <w:tr>
        <w:trPr>
          <w:trHeight w:val="22"/>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American Centrifuge Plant</w:t>
            </w:r>
          </w:p>
        </w:tc>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Refers to a demonstration facility in Piketon, Ohio where USEC planned to install a lead cascade of centrifuge machines to demonstrate</w:t>
            </w: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the American Centrifuge technology under the terms of the 2002 DOE-USEC Agreement</w:t>
            </w: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ARDP</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DOE’s Advanced Reactor Demonstration Program</w:t>
            </w: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ATM</w:t>
            </w:r>
          </w:p>
        </w:tc>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At the Market</w:t>
            </w: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Class A Common Stock</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Class A common stock, $0.10 par value per share</w:t>
            </w: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Common Stock</w:t>
            </w:r>
          </w:p>
        </w:tc>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Class B common stock, $0.10 par value per share</w:t>
            </w: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Class A Common Stock and Class B Common Stock</w:t>
            </w: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D&amp;D</w:t>
            </w:r>
          </w:p>
        </w:tc>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Decontamination &amp; Decommissioning</w:t>
            </w: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DOC</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U.S. Department of Commerce</w:t>
            </w: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DOE</w:t>
            </w:r>
          </w:p>
        </w:tc>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U.S. Department of Energy</w:t>
            </w: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EPC Contract</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Engineering, procurement and construction contract</w:t>
            </w: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EU</w:t>
            </w:r>
          </w:p>
        </w:tc>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European Union</w:t>
            </w: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Exchange Act</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Securities Exchange Act of 1934, as amended</w:t>
            </w: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HALEU</w:t>
            </w:r>
          </w:p>
        </w:tc>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High Assay Low-Enriched Uranium</w:t>
            </w:r>
          </w:p>
        </w:tc>
      </w:tr>
      <w:tr>
        <w:trPr>
          <w:trHeight w:val="191"/>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HALEU Deconversion Contract</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An IDIQ contract awarded by DOE to ACO on October 4, 2024 for the deconversion of HALEU</w:t>
            </w:r>
          </w:p>
        </w:tc>
      </w:tr>
      <w:tr>
        <w:trPr>
          <w:trHeight w:val="22"/>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HALEU Demonstration Contract</w:t>
            </w:r>
          </w:p>
        </w:tc>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Three-year, $115.0 million cost-share contract with DOE signed in 2019 by Centrus’ subsidiary, ACO</w:t>
            </w:r>
          </w:p>
        </w:tc>
      </w:tr>
      <w:tr>
        <w:trPr>
          <w:trHeight w:val="191"/>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HALEU Production Contract</w:t>
            </w:r>
          </w:p>
        </w:tc>
        <w:tc>
          <w:tcPr>
            <w:tcW w:w="82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An IDIQ contract awarded by DOE to ACO on October 16, 2024 for the production of HALEU</w:t>
            </w:r>
          </w:p>
        </w:tc>
      </w:tr>
      <w:tr>
        <w:trPr>
          <w:trHeight w:val="721"/>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20" w:type="dxa"/>
            <w:vAlign w:val="bottom"/>
          </w:tcPr>
          <w:p>
            <w:pPr>
              <w:ind w:left="2540"/>
              <w:spacing w:after="0"/>
              <w:rPr>
                <w:sz w:val="20"/>
                <w:szCs w:val="20"/>
                <w:color w:val="auto"/>
              </w:rPr>
            </w:pPr>
            <w:r>
              <w:rPr>
                <w:rFonts w:ascii="Times New Roman" w:cs="Times New Roman" w:eastAsia="Times New Roman" w:hAnsi="Times New Roman"/>
                <w:sz w:val="14"/>
                <w:szCs w:val="14"/>
                <w:color w:val="auto"/>
              </w:rPr>
              <w:t>3</w:t>
            </w:r>
          </w:p>
        </w:tc>
      </w:tr>
      <w:tr>
        <w:trPr>
          <w:trHeight w:val="87"/>
        </w:trPr>
        <w:tc>
          <w:tcPr>
            <w:tcW w:w="2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HALEU Operation Contract</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HALEU production contract with DOE signed in 2022</w:t>
            </w:r>
          </w:p>
        </w:tc>
      </w:tr>
      <w:tr>
        <w:trPr>
          <w:trHeight w:val="138"/>
        </w:trPr>
        <w:tc>
          <w:tcPr>
            <w:tcW w:w="25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IDIQ</w:t>
            </w:r>
          </w:p>
        </w:tc>
        <w:tc>
          <w:tcPr>
            <w:tcW w:w="8720" w:type="dxa"/>
            <w:vAlign w:val="bottom"/>
          </w:tcPr>
          <w:p>
            <w:pPr>
              <w:ind w:left="940"/>
              <w:spacing w:after="0" w:line="138" w:lineRule="exact"/>
              <w:rPr>
                <w:sz w:val="20"/>
                <w:szCs w:val="20"/>
                <w:color w:val="auto"/>
              </w:rPr>
            </w:pPr>
            <w:r>
              <w:rPr>
                <w:rFonts w:ascii="Times New Roman" w:cs="Times New Roman" w:eastAsia="Times New Roman" w:hAnsi="Times New Roman"/>
                <w:sz w:val="14"/>
                <w:szCs w:val="14"/>
                <w:color w:val="auto"/>
              </w:rPr>
              <w:t>Indefinite Delivery, Indefinite Quantity, a type of government contract that provides for an indefinite quantity, within stated limits, of</w:t>
            </w:r>
          </w:p>
        </w:tc>
      </w:tr>
      <w:tr>
        <w:trPr>
          <w:trHeight w:val="187"/>
        </w:trPr>
        <w:tc>
          <w:tcPr>
            <w:tcW w:w="2560" w:type="dxa"/>
            <w:vAlign w:val="bottom"/>
          </w:tcPr>
          <w:p>
            <w:pPr>
              <w:spacing w:after="0"/>
              <w:rPr>
                <w:sz w:val="16"/>
                <w:szCs w:val="16"/>
                <w:color w:val="auto"/>
              </w:rPr>
            </w:pP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supplies or services during a fixed period under which the government places orders for individual requirements</w:t>
            </w:r>
          </w:p>
        </w:tc>
      </w:tr>
      <w:tr>
        <w:trPr>
          <w:trHeight w:val="18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IEA</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International Energy Agency</w:t>
            </w:r>
          </w:p>
        </w:tc>
      </w:tr>
      <w:tr>
        <w:trPr>
          <w:trHeight w:val="17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Import Ban Act</w:t>
            </w: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The “Prohibiting Russian Uranium Imports Act” enacted in May 2024 that bans imports of LEU from Russia into the U.S., effective</w:t>
            </w:r>
          </w:p>
        </w:tc>
      </w:tr>
      <w:tr>
        <w:trPr>
          <w:trHeight w:val="184"/>
        </w:trPr>
        <w:tc>
          <w:tcPr>
            <w:tcW w:w="2560" w:type="dxa"/>
            <w:vAlign w:val="bottom"/>
          </w:tcPr>
          <w:p>
            <w:pPr>
              <w:spacing w:after="0"/>
              <w:rPr>
                <w:sz w:val="16"/>
                <w:szCs w:val="16"/>
                <w:color w:val="auto"/>
              </w:rPr>
            </w:pP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August 11, 2024, subject to issuance of waivers by the DOE</w:t>
            </w:r>
          </w:p>
        </w:tc>
      </w:tr>
      <w:tr>
        <w:trPr>
          <w:trHeight w:val="22"/>
        </w:trPr>
        <w:tc>
          <w:tcPr>
            <w:tcW w:w="25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17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LEU</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Low-Enriched Uranium; term is also used to refer to the Centrus Energy Corp. business segment which supplies commercial customers</w:t>
            </w:r>
          </w:p>
        </w:tc>
      </w:tr>
      <w:tr>
        <w:trPr>
          <w:trHeight w:val="186"/>
        </w:trPr>
        <w:tc>
          <w:tcPr>
            <w:tcW w:w="2560" w:type="dxa"/>
            <w:vAlign w:val="bottom"/>
            <w:tcBorders>
              <w:bottom w:val="single" w:sz="8" w:color="CCEEFF"/>
            </w:tcBorders>
            <w:shd w:val="clear" w:color="auto" w:fill="CCEEFF"/>
          </w:tcPr>
          <w:p>
            <w:pPr>
              <w:spacing w:after="0"/>
              <w:rPr>
                <w:sz w:val="16"/>
                <w:szCs w:val="16"/>
                <w:color w:val="auto"/>
              </w:rPr>
            </w:pPr>
          </w:p>
        </w:tc>
        <w:tc>
          <w:tcPr>
            <w:tcW w:w="87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with various components of nuclear fuel</w:t>
            </w:r>
          </w:p>
        </w:tc>
      </w:tr>
      <w:tr>
        <w:trPr>
          <w:trHeight w:val="191"/>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LEU Production Contract</w:t>
            </w: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An IDIQ contract awarded by DOE to ACO on December 10, 2024 for expansion of domestic LEU production</w:t>
            </w:r>
          </w:p>
        </w:tc>
      </w:tr>
      <w:tr>
        <w:trPr>
          <w:trHeight w:val="22"/>
        </w:trPr>
        <w:tc>
          <w:tcPr>
            <w:tcW w:w="25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Uranium</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Raw material needed to produce LEU and HALEU</w:t>
            </w: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NOL</w:t>
            </w: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Net Operating Loss</w:t>
            </w: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NRC</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U.S. Nuclear Regulatory Commission</w:t>
            </w: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NUBIL</w:t>
            </w: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Net unrealized built-in loss</w:t>
            </w: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Orano</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Orano Cycle</w:t>
            </w:r>
          </w:p>
        </w:tc>
      </w:tr>
      <w:tr>
        <w:trPr>
          <w:trHeight w:val="191"/>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Orano Supply Agreement</w:t>
            </w: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Long-term supply of SWU contained in LEU, signed by Enrichment Corp. with Orano in 2018</w:t>
            </w:r>
          </w:p>
        </w:tc>
      </w:tr>
      <w:tr>
        <w:trPr>
          <w:trHeight w:val="22"/>
        </w:trPr>
        <w:tc>
          <w:tcPr>
            <w:tcW w:w="25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Power MOU</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Memorandum of understanding between the DOE and USEC-Government</w:t>
            </w:r>
          </w:p>
        </w:tc>
      </w:tr>
      <w:tr>
        <w:trPr>
          <w:trHeight w:val="191"/>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Price-Anderson Act</w:t>
            </w: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Price-Anderson Nuclear Industries Indemnity Act (Section 170 of the U.S. Atomic Energy Act of 1954, as amended)</w:t>
            </w:r>
          </w:p>
        </w:tc>
      </w:tr>
      <w:tr>
        <w:trPr>
          <w:trHeight w:val="22"/>
        </w:trPr>
        <w:tc>
          <w:tcPr>
            <w:tcW w:w="25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RFP</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Request for Proposal</w:t>
            </w:r>
          </w:p>
        </w:tc>
      </w:tr>
      <w:tr>
        <w:trPr>
          <w:trHeight w:val="17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Rights Agreement</w:t>
            </w: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Section 382 Rights Agreement, dated as of April 6, 2016, by and among the Company and Computershare Trust Company, N.A. and</w:t>
            </w:r>
          </w:p>
        </w:tc>
      </w:tr>
      <w:tr>
        <w:trPr>
          <w:trHeight w:val="184"/>
        </w:trPr>
        <w:tc>
          <w:tcPr>
            <w:tcW w:w="2560" w:type="dxa"/>
            <w:vAlign w:val="bottom"/>
          </w:tcPr>
          <w:p>
            <w:pPr>
              <w:spacing w:after="0"/>
              <w:rPr>
                <w:sz w:val="16"/>
                <w:szCs w:val="16"/>
                <w:color w:val="auto"/>
              </w:rPr>
            </w:pP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Computershare Inc., as rights agent, as amended</w:t>
            </w:r>
          </w:p>
        </w:tc>
      </w:tr>
      <w:tr>
        <w:trPr>
          <w:trHeight w:val="22"/>
        </w:trPr>
        <w:tc>
          <w:tcPr>
            <w:tcW w:w="25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Rosatom</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Russian State Atomic Energy Corporation</w:t>
            </w: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RSA</w:t>
            </w: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1992 Russian Suspension Agreement, as amended</w:t>
            </w:r>
          </w:p>
        </w:tc>
      </w:tr>
      <w:tr>
        <w:trPr>
          <w:trHeight w:val="17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Russian Decree</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Russian Federal Decree No. 1544, passed on November 14, 2024, that rescinded TENEX’s general license to export LEU to the United</w:t>
            </w:r>
          </w:p>
        </w:tc>
      </w:tr>
      <w:tr>
        <w:trPr>
          <w:trHeight w:val="170"/>
        </w:trPr>
        <w:tc>
          <w:tcPr>
            <w:tcW w:w="2560" w:type="dxa"/>
            <w:vAlign w:val="bottom"/>
            <w:shd w:val="clear" w:color="auto" w:fill="CCEEFF"/>
          </w:tcPr>
          <w:p>
            <w:pPr>
              <w:spacing w:after="0"/>
              <w:rPr>
                <w:sz w:val="14"/>
                <w:szCs w:val="14"/>
                <w:color w:val="auto"/>
              </w:rPr>
            </w:pP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States or to entities registered in the United States, effective through December 31, 2025 and extended through December 31, 2027 by</w:t>
            </w:r>
          </w:p>
        </w:tc>
      </w:tr>
      <w:tr>
        <w:trPr>
          <w:trHeight w:val="186"/>
        </w:trPr>
        <w:tc>
          <w:tcPr>
            <w:tcW w:w="2560" w:type="dxa"/>
            <w:vAlign w:val="bottom"/>
            <w:tcBorders>
              <w:bottom w:val="single" w:sz="8" w:color="CCEEFF"/>
            </w:tcBorders>
            <w:shd w:val="clear" w:color="auto" w:fill="CCEEFF"/>
          </w:tcPr>
          <w:p>
            <w:pPr>
              <w:spacing w:after="0"/>
              <w:rPr>
                <w:sz w:val="16"/>
                <w:szCs w:val="16"/>
                <w:color w:val="auto"/>
              </w:rPr>
            </w:pPr>
          </w:p>
        </w:tc>
        <w:tc>
          <w:tcPr>
            <w:tcW w:w="87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Russian Federal Decree No. 1516, enacted on October 2, 2025</w:t>
            </w: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Stock appreciation rights</w:t>
            </w: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U.S. Securities &amp; Exchange Commission</w:t>
            </w: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SWU</w:t>
            </w: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Separative work unit</w:t>
            </w:r>
          </w:p>
        </w:tc>
      </w:tr>
      <w:tr>
        <w:trPr>
          <w:trHeight w:val="17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Technical Solutions</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The Centrus business segment focused on uranium enrichment for the nuclear industry and the U.S. government and advanced</w:t>
            </w:r>
          </w:p>
        </w:tc>
      </w:tr>
      <w:tr>
        <w:trPr>
          <w:trHeight w:val="186"/>
        </w:trPr>
        <w:tc>
          <w:tcPr>
            <w:tcW w:w="2560" w:type="dxa"/>
            <w:vAlign w:val="bottom"/>
            <w:tcBorders>
              <w:bottom w:val="single" w:sz="8" w:color="CCEEFF"/>
            </w:tcBorders>
            <w:shd w:val="clear" w:color="auto" w:fill="CCEEFF"/>
          </w:tcPr>
          <w:p>
            <w:pPr>
              <w:spacing w:after="0"/>
              <w:rPr>
                <w:sz w:val="16"/>
                <w:szCs w:val="16"/>
                <w:color w:val="auto"/>
              </w:rPr>
            </w:pPr>
          </w:p>
        </w:tc>
        <w:tc>
          <w:tcPr>
            <w:tcW w:w="87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manufacturing, engineering and other technical services to government and private sector customers</w:t>
            </w: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TENEX</w:t>
            </w: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Russian government-owned entity TENEX, Joint-Stock Company</w:t>
            </w: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TENEX Supply Contract</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March 23, 2011 Enriched Product Transitional Supply Contract with TENEX through 2028</w:t>
            </w: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GAAP</w:t>
            </w: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tc>
      </w:tr>
      <w:tr>
        <w:trPr>
          <w:trHeight w:val="180"/>
        </w:trPr>
        <w:tc>
          <w:tcPr>
            <w:tcW w:w="25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U</w:t>
            </w: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vertAlign w:val="subscript"/>
              </w:rPr>
              <w:t>8</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Uranium oxide, aka “yellowcake”</w:t>
            </w:r>
          </w:p>
        </w:tc>
      </w:tr>
      <w:tr>
        <w:trPr>
          <w:trHeight w:val="180"/>
        </w:trPr>
        <w:tc>
          <w:tcPr>
            <w:tcW w:w="25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UF</w:t>
            </w:r>
            <w:r>
              <w:rPr>
                <w:rFonts w:ascii="Times New Roman" w:cs="Times New Roman" w:eastAsia="Times New Roman" w:hAnsi="Times New Roman"/>
                <w:sz w:val="18"/>
                <w:szCs w:val="18"/>
                <w:color w:val="auto"/>
                <w:vertAlign w:val="subscript"/>
              </w:rPr>
              <w:t>6</w:t>
            </w:r>
          </w:p>
        </w:tc>
        <w:tc>
          <w:tcPr>
            <w:tcW w:w="87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Uranium hexafluoride</w:t>
            </w: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WNA</w:t>
            </w:r>
          </w:p>
        </w:tc>
        <w:tc>
          <w:tcPr>
            <w:tcW w:w="8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World Nuclear Association</w:t>
            </w:r>
          </w:p>
        </w:tc>
      </w:tr>
      <w:tr>
        <w:trPr>
          <w:trHeight w:val="710"/>
        </w:trPr>
        <w:tc>
          <w:tcPr>
            <w:tcW w:w="2560" w:type="dxa"/>
            <w:vAlign w:val="bottom"/>
          </w:tcPr>
          <w:p>
            <w:pPr>
              <w:spacing w:after="0"/>
              <w:rPr>
                <w:sz w:val="24"/>
                <w:szCs w:val="24"/>
                <w:color w:val="auto"/>
              </w:rPr>
            </w:pPr>
          </w:p>
        </w:tc>
        <w:tc>
          <w:tcPr>
            <w:tcW w:w="8720" w:type="dxa"/>
            <w:vAlign w:val="bottom"/>
          </w:tcPr>
          <w:p>
            <w:pPr>
              <w:ind w:left="3040"/>
              <w:spacing w:after="0"/>
              <w:rPr>
                <w:sz w:val="20"/>
                <w:szCs w:val="20"/>
                <w:color w:val="auto"/>
              </w:rPr>
            </w:pPr>
            <w:r>
              <w:rPr>
                <w:rFonts w:ascii="Times New Roman" w:cs="Times New Roman" w:eastAsia="Times New Roman" w:hAnsi="Times New Roman"/>
                <w:sz w:val="14"/>
                <w:szCs w:val="14"/>
                <w:color w:val="auto"/>
              </w:rPr>
              <w:t>4</w:t>
            </w:r>
          </w:p>
        </w:tc>
      </w:tr>
      <w:tr>
        <w:trPr>
          <w:trHeight w:val="87"/>
        </w:trPr>
        <w:tc>
          <w:tcPr>
            <w:tcW w:w="2560" w:type="dxa"/>
            <w:vAlign w:val="bottom"/>
            <w:tcBorders>
              <w:bottom w:val="single" w:sz="8" w:color="9A9A9A"/>
            </w:tcBorders>
          </w:tcPr>
          <w:p>
            <w:pPr>
              <w:spacing w:after="0"/>
              <w:rPr>
                <w:sz w:val="7"/>
                <w:szCs w:val="7"/>
                <w:color w:val="auto"/>
              </w:rPr>
            </w:pPr>
          </w:p>
        </w:tc>
        <w:tc>
          <w:tcPr>
            <w:tcW w:w="8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97" w:right="319" w:bottom="1440" w:gutter="0" w:footer="0" w:header="0"/>
        </w:sectPr>
      </w:pPr>
    </w:p>
    <w:bookmarkStart w:id="4" w:name="page5"/>
    <w:bookmarkEnd w:id="4"/>
    <w:p>
      <w:pPr>
        <w:ind w:left="430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CAUTIONARY STATEMENTS REGARDING FORWARD-LOOKING INFORMATION</w:t>
      </w:r>
    </w:p>
    <w:p>
      <w:pPr>
        <w:spacing w:after="0" w:line="176"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4"/>
          <w:szCs w:val="14"/>
          <w:color w:val="auto"/>
        </w:rPr>
        <w:t>This Quarterly Report on Form 10-Q of Centrus (the “Company,” “we” or “us”) contains “forward-looking statements” within the meaning of Section 21E of the Exchange Act of 1934,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Quarterly Report on Form 10-Q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 and which may be exacerbated by any worsening of the global business and economic environment including but not limited to, risks and uncertainties related to the following:</w:t>
      </w:r>
    </w:p>
    <w:p>
      <w:pPr>
        <w:spacing w:after="0" w:line="139" w:lineRule="exact"/>
        <w:rPr>
          <w:sz w:val="20"/>
          <w:szCs w:val="20"/>
          <w:color w:val="auto"/>
        </w:rPr>
      </w:pPr>
    </w:p>
    <w:p>
      <w:pPr>
        <w:ind w:left="640" w:hanging="253"/>
        <w:spacing w:after="0" w:line="261" w:lineRule="auto"/>
        <w:tabs>
          <w:tab w:leader="none" w:pos="6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war in Ukraine and other geopolitical conflicts, including the resulting bans, laws, tariffs, sanctions or other government measures, and actions by third parties, including contractual counterparties, as a result of such conflicts that could directly or indirectly impact our ability to obtain, deliver, transport, sell or collect payment for, LEU or the SWU and natural uranium hexafluoride components of LEU;</w:t>
      </w:r>
    </w:p>
    <w:p>
      <w:pPr>
        <w:spacing w:after="0" w:line="4"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third party suppliers to provide essential products and services to us;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imports and exports, including those imposed under the RSA, and related international trade legislation;</w:t>
      </w:r>
    </w:p>
    <w:p>
      <w:pPr>
        <w:spacing w:after="0" w:line="38" w:lineRule="exact"/>
        <w:rPr>
          <w:rFonts w:ascii="Times New Roman" w:cs="Times New Roman" w:eastAsia="Times New Roman" w:hAnsi="Times New Roman"/>
          <w:sz w:val="16"/>
          <w:szCs w:val="16"/>
          <w:color w:val="auto"/>
        </w:rPr>
      </w:pPr>
    </w:p>
    <w:p>
      <w:pPr>
        <w:ind w:left="640" w:right="420" w:hanging="253"/>
        <w:spacing w:after="0" w:line="273" w:lineRule="auto"/>
        <w:tabs>
          <w:tab w:leader="none" w:pos="6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lease to our facility in Piketon, Ohio and our government contracts, including related to government shutdowns, changes to the U.S. government’s appropriated funding levels for HALEU and the government’s inability to satisfy its obligations;</w:t>
      </w:r>
    </w:p>
    <w:p>
      <w:pPr>
        <w:spacing w:after="0" w:line="5" w:lineRule="exact"/>
        <w:rPr>
          <w:rFonts w:ascii="Times New Roman" w:cs="Times New Roman" w:eastAsia="Times New Roman" w:hAnsi="Times New Roman"/>
          <w:sz w:val="16"/>
          <w:szCs w:val="16"/>
          <w:color w:val="auto"/>
        </w:rPr>
      </w:pPr>
    </w:p>
    <w:p>
      <w:pPr>
        <w:ind w:left="640" w:right="180" w:hanging="253"/>
        <w:spacing w:after="0" w:line="259" w:lineRule="auto"/>
        <w:tabs>
          <w:tab w:leader="none" w:pos="6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receipt of additional task orders under the HALEU Production Contract, LEU Production Contract and HALEU Deconversion Contract and, if awarded, the nature, timing and amount thereof;</w:t>
      </w:r>
    </w:p>
    <w:p>
      <w:pPr>
        <w:spacing w:after="0" w:line="16"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new contracts or funding to be able to continue operations;</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when government demand for HALEU or LEU for government or commercial uses will materialize and at what level;</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and potential extended duration of a supply/demand imbalance in the market for LEU;</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competition from major LEU producers, including foreign competitors, who may be less cost sensitive than we are;</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our ability to compete in foreign markets;</w:t>
      </w:r>
    </w:p>
    <w:p>
      <w:pPr>
        <w:spacing w:after="0" w:line="49" w:lineRule="exact"/>
        <w:rPr>
          <w:rFonts w:ascii="Times New Roman" w:cs="Times New Roman" w:eastAsia="Times New Roman" w:hAnsi="Times New Roman"/>
          <w:sz w:val="16"/>
          <w:szCs w:val="16"/>
          <w:color w:val="auto"/>
        </w:rPr>
      </w:pPr>
    </w:p>
    <w:p>
      <w:pPr>
        <w:ind w:left="640" w:right="260" w:hanging="253"/>
        <w:spacing w:after="0" w:line="259" w:lineRule="auto"/>
        <w:tabs>
          <w:tab w:leader="none" w:pos="6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 trends and demand in the uranium and enrichment markets, especially in light of the potential of limited supply and our dependence on others for deliveries of LEU;</w:t>
      </w:r>
    </w:p>
    <w:p>
      <w:pPr>
        <w:spacing w:after="0" w:line="16"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implement our planned expansion projects in Piketon, Ohio and Oak Ridge, Tennessee;</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integrate artificial intelligence technologies into our operations;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and other disasters;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pandemics and other health crises;</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our revenue is largely dependent on our largest customers and our sales backlog;</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long-term liabilities, including our postretirement health and life benefit obligations, our 0% Convertible Notes and our 2.25% Convertible Notes;</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failures or security, including cybersecurity, breaches of our information technology systems; and</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or changes to, government regulation and policies or interpretation of laws or regulations, including by the SEC, DOE, DOC and the NRC.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5" w:name="page6"/>
    <w:bookmarkEnd w:id="5"/>
    <w:p>
      <w:pPr>
        <w:ind w:firstLine="509"/>
        <w:spacing w:after="0" w:line="248" w:lineRule="auto"/>
        <w:rPr>
          <w:sz w:val="20"/>
          <w:szCs w:val="20"/>
          <w:color w:val="auto"/>
        </w:rPr>
      </w:pPr>
      <w:r>
        <w:rPr>
          <w:rFonts w:ascii="Times New Roman" w:cs="Times New Roman" w:eastAsia="Times New Roman" w:hAnsi="Times New Roman"/>
          <w:sz w:val="16"/>
          <w:szCs w:val="16"/>
          <w:color w:val="auto"/>
        </w:rPr>
        <w:t xml:space="preserve">For a more detailed discussion of these risks and others that could cause actual results to differ materially from those contained in our forward-looking statements, please see our Annual Report on Form 10-K for the year ended December 31, 2025 and Part II,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of this Quarterly Report on Form 10-Q. These factors may not constitute all factors that could cause actual results to differ from those discussed in any forward-looking statement. Accordingly, forward-looking statements should not be relied upon as a predictor of actual results, and readers are cautioned not to place undue reliance on these forward-looking statements, which apply only as of the date of this Quarterly Report. The Company does not undertake any obligation to publicly release any revision to its forward-looking statements to reflect events or circumstances that may arise after the date of this Quarterly Report on Form 10-Q unless required by law.</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color w:val="auto"/>
        </w:rPr>
        <w:t>CENTRUS ENERGY CORP.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w:t>
      </w:r>
      <w:r>
        <w:rPr>
          <w:rFonts w:ascii="Times New Roman" w:cs="Times New Roman" w:eastAsia="Times New Roman" w:hAnsi="Times New Roman"/>
          <w:sz w:val="14"/>
          <w:szCs w:val="14"/>
          <w:b w:val="1"/>
          <w:bCs w:val="1"/>
          <w:color w:val="auto"/>
        </w:rPr>
        <w:t>ONDENSED C</w:t>
      </w:r>
      <w:r>
        <w:rPr>
          <w:rFonts w:ascii="Times New Roman" w:cs="Times New Roman" w:eastAsia="Times New Roman" w:hAnsi="Times New Roman"/>
          <w:sz w:val="13"/>
          <w:szCs w:val="13"/>
          <w:b w:val="1"/>
          <w:bCs w:val="1"/>
          <w:color w:val="auto"/>
        </w:rPr>
        <w:t>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(Unaudited; in millions, except share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4"/>
        </w:trPr>
        <w:tc>
          <w:tcPr>
            <w:tcW w:w="77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2"/>
                <w:szCs w:val="12"/>
                <w:b w:val="1"/>
                <w:bCs w:val="1"/>
                <w:color w:val="auto"/>
              </w:rPr>
              <w:t>2026</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6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77"/>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4"/>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16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1,868.2</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1,957.2</w:t>
            </w:r>
          </w:p>
        </w:tc>
      </w:tr>
      <w:tr>
        <w:trPr>
          <w:trHeight w:val="177"/>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w:t>
            </w: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r>
      <w:tr>
        <w:trPr>
          <w:trHeight w:val="184"/>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336.0</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w:t>
            </w:r>
          </w:p>
        </w:tc>
      </w:tr>
      <w:tr>
        <w:trPr>
          <w:trHeight w:val="177"/>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costs associated with deferred revenue</w:t>
            </w: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r>
      <w:tr>
        <w:trPr>
          <w:trHeight w:val="184"/>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current assets</w:t>
            </w:r>
          </w:p>
        </w:tc>
        <w:tc>
          <w:tcPr>
            <w:tcW w:w="1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2,295.4</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2,363.6</w:t>
            </w:r>
          </w:p>
        </w:tc>
      </w:tr>
      <w:tr>
        <w:trPr>
          <w:trHeight w:val="16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 of accumulated depreciation of $7.1 million and $6.7 million as of March 31, 2026 and December 31,</w:t>
            </w: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9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2025, respectively</w:t>
            </w: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r>
      <w:tr>
        <w:trPr>
          <w:trHeight w:val="177"/>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Deposits for financial assurance</w:t>
            </w: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8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17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c>
          <w:tcPr>
            <w:tcW w:w="1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4"/>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160" w:type="dxa"/>
            <w:vAlign w:val="bottom"/>
            <w:tcBorders>
              <w:bottom w:val="single" w:sz="8" w:color="auto"/>
            </w:tcBorders>
          </w:tcPr>
          <w:p>
            <w:pPr>
              <w:jc w:val="right"/>
              <w:ind w:right="101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2,433.2</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2,445.9</w:t>
            </w:r>
          </w:p>
        </w:tc>
      </w:tr>
      <w:tr>
        <w:trPr>
          <w:trHeight w:val="60"/>
        </w:trPr>
        <w:tc>
          <w:tcPr>
            <w:tcW w:w="77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178"/>
        </w:trPr>
        <w:tc>
          <w:tcPr>
            <w:tcW w:w="77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1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20" w:type="dxa"/>
            <w:vAlign w:val="bottom"/>
            <w:tcBorders>
              <w:top w:val="single" w:sz="8" w:color="CCEEFF"/>
            </w:tcBorders>
          </w:tcPr>
          <w:p>
            <w:pPr>
              <w:spacing w:after="0"/>
              <w:rPr>
                <w:sz w:val="15"/>
                <w:szCs w:val="15"/>
                <w:color w:val="auto"/>
              </w:rPr>
            </w:pPr>
          </w:p>
        </w:tc>
      </w:tr>
      <w:tr>
        <w:trPr>
          <w:trHeight w:val="18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7"/>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160" w:type="dxa"/>
            <w:vAlign w:val="bottom"/>
          </w:tcPr>
          <w:p>
            <w:pPr>
              <w:jc w:val="right"/>
              <w:ind w:right="101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8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r>
      <w:tr>
        <w:trPr>
          <w:trHeight w:val="184"/>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Payables under inventory purchase agreements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77"/>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 owed to customers and suppliers</w:t>
            </w: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192.7</w:t>
            </w:r>
          </w:p>
        </w:tc>
      </w:tr>
      <w:tr>
        <w:trPr>
          <w:trHeight w:val="184"/>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revenue and advances from customers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w:t>
            </w:r>
          </w:p>
        </w:tc>
      </w:tr>
      <w:tr>
        <w:trPr>
          <w:trHeight w:val="177"/>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Short-term inventory loans</w:t>
            </w: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w:t>
            </w:r>
          </w:p>
        </w:tc>
      </w:tr>
      <w:tr>
        <w:trPr>
          <w:trHeight w:val="184"/>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debt</w:t>
            </w:r>
          </w:p>
        </w:tc>
        <w:tc>
          <w:tcPr>
            <w:tcW w:w="1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401.3</w:t>
            </w:r>
          </w:p>
        </w:tc>
        <w:tc>
          <w:tcPr>
            <w:tcW w:w="1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422.8</w:t>
            </w:r>
          </w:p>
        </w:tc>
      </w:tr>
      <w:tr>
        <w:trPr>
          <w:trHeight w:val="18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1,176.1</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1,174.8</w:t>
            </w:r>
          </w:p>
        </w:tc>
      </w:tr>
      <w:tr>
        <w:trPr>
          <w:trHeight w:val="177"/>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Postretirement health and life benefit obligations</w:t>
            </w: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r>
      <w:tr>
        <w:trPr>
          <w:trHeight w:val="18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benefit liabilities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7"/>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7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1,658.0</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1,680.8</w:t>
            </w:r>
          </w:p>
        </w:tc>
      </w:tr>
      <w:tr>
        <w:trPr>
          <w:trHeight w:val="177"/>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11)</w:t>
            </w: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7"/>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 par value $1.00 per share, 20,000,000 shares authorized</w:t>
            </w: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4"/>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Series A Participating Cumulative Preferred Stock, none issued</w:t>
            </w:r>
          </w:p>
        </w:tc>
        <w:tc>
          <w:tcPr>
            <w:tcW w:w="1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7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Series B Senior Preferred Stock, none issued</w:t>
            </w:r>
          </w:p>
        </w:tc>
        <w:tc>
          <w:tcPr>
            <w:tcW w:w="116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Class A Common Stock, par value $0.10 per share, 70,000,000 shares authorized, 18,952,387 and 18,945,365 shares issued and outstanding</w:t>
            </w: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97"/>
        </w:trPr>
        <w:tc>
          <w:tcPr>
            <w:tcW w:w="7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as of March 31, 2026 and December 31, 2025, respectively</w:t>
            </w: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3"/>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Class B Common Stock, par value $0.10 per share, 30,000,000 shares authorized, 719,200 shares issued and outstanding as of March 31,</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1"/>
        </w:trPr>
        <w:tc>
          <w:tcPr>
            <w:tcW w:w="7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2026 and December 31, 2025</w:t>
            </w:r>
          </w:p>
        </w:tc>
        <w:tc>
          <w:tcPr>
            <w:tcW w:w="1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87"/>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Excess of capital over par value</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762.4</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762.3</w:t>
            </w:r>
          </w:p>
        </w:tc>
      </w:tr>
      <w:tr>
        <w:trPr>
          <w:trHeight w:val="177"/>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84"/>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168"/>
        </w:trPr>
        <w:tc>
          <w:tcPr>
            <w:tcW w:w="7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775.2</w:t>
            </w: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765.1</w:t>
            </w:r>
          </w:p>
        </w:tc>
      </w:tr>
      <w:tr>
        <w:trPr>
          <w:trHeight w:val="199"/>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16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2,433.2</w:t>
            </w: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2,445.9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ind w:right="4760"/>
        <w:spacing w:after="0" w:line="266" w:lineRule="auto"/>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INCOME (</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 except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0" w:type="dxa"/>
            <w:vAlign w:val="bottom"/>
            <w:gridSpan w:val="3"/>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2026</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55"/>
        </w:trPr>
        <w:tc>
          <w:tcPr>
            <w:tcW w:w="77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Separative work units</w:t>
            </w:r>
          </w:p>
        </w:tc>
        <w:tc>
          <w:tcPr>
            <w:tcW w:w="108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0" w:type="dxa"/>
            <w:vAlign w:val="bottom"/>
          </w:tcPr>
          <w:p>
            <w:pPr>
              <w:spacing w:after="0"/>
              <w:rPr>
                <w:sz w:val="1"/>
                <w:szCs w:val="1"/>
                <w:color w:val="auto"/>
              </w:rPr>
            </w:pPr>
          </w:p>
        </w:tc>
      </w:tr>
      <w:tr>
        <w:trPr>
          <w:trHeight w:val="177"/>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Uranium</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Technical solutions</w:t>
            </w: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revenue</w:t>
            </w: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Separative work units and uranium</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Technical solutions</w:t>
            </w: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68"/>
        </w:trPr>
        <w:tc>
          <w:tcPr>
            <w:tcW w:w="7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cost of sales</w:t>
            </w:r>
          </w:p>
        </w:tc>
        <w:tc>
          <w:tcPr>
            <w:tcW w:w="10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1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7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0" w:type="dxa"/>
            <w:vAlign w:val="bottom"/>
          </w:tcPr>
          <w:p>
            <w:pPr>
              <w:spacing w:after="0"/>
              <w:rPr>
                <w:sz w:val="1"/>
                <w:szCs w:val="1"/>
                <w:color w:val="auto"/>
              </w:rPr>
            </w:pPr>
          </w:p>
        </w:tc>
      </w:tr>
      <w:tr>
        <w:trPr>
          <w:trHeight w:val="177"/>
        </w:trPr>
        <w:tc>
          <w:tcPr>
            <w:tcW w:w="7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Advanced technology costs</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77"/>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0" w:type="dxa"/>
            <w:vAlign w:val="bottom"/>
          </w:tcPr>
          <w:p>
            <w:pPr>
              <w:spacing w:after="0"/>
              <w:rPr>
                <w:sz w:val="1"/>
                <w:szCs w:val="1"/>
                <w:color w:val="auto"/>
              </w:rPr>
            </w:pPr>
          </w:p>
        </w:tc>
      </w:tr>
      <w:tr>
        <w:trPr>
          <w:trHeight w:val="177"/>
        </w:trPr>
        <w:tc>
          <w:tcPr>
            <w:tcW w:w="7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Nonoperating components of net periodic benefit loss</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77"/>
        </w:trPr>
        <w:tc>
          <w:tcPr>
            <w:tcW w:w="7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income</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Extinguishment of long-term debt</w:t>
            </w:r>
          </w:p>
        </w:tc>
        <w:tc>
          <w:tcPr>
            <w:tcW w:w="10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0" w:type="dxa"/>
            <w:vAlign w:val="bottom"/>
          </w:tcPr>
          <w:p>
            <w:pPr>
              <w:spacing w:after="0"/>
              <w:rPr>
                <w:sz w:val="1"/>
                <w:szCs w:val="1"/>
                <w:color w:val="auto"/>
              </w:rPr>
            </w:pPr>
          </w:p>
        </w:tc>
      </w:tr>
      <w:tr>
        <w:trPr>
          <w:trHeight w:val="177"/>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expense, net</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0" w:type="dxa"/>
            <w:vAlign w:val="bottom"/>
          </w:tcPr>
          <w:p>
            <w:pPr>
              <w:spacing w:after="0"/>
              <w:rPr>
                <w:sz w:val="1"/>
                <w:szCs w:val="1"/>
                <w:color w:val="auto"/>
              </w:rPr>
            </w:pPr>
          </w:p>
        </w:tc>
      </w:tr>
      <w:tr>
        <w:trPr>
          <w:trHeight w:val="177"/>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99"/>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and comprehensive income</w:t>
            </w:r>
          </w:p>
        </w:tc>
        <w:tc>
          <w:tcPr>
            <w:tcW w:w="108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per share:</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1080" w:type="dxa"/>
            <w:vAlign w:val="bottom"/>
          </w:tcPr>
          <w:p>
            <w:pPr>
              <w:jc w:val="right"/>
              <w:ind w:right="9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180" w:type="dxa"/>
            <w:vAlign w:val="bottom"/>
          </w:tcPr>
          <w:p>
            <w:pPr>
              <w:spacing w:after="0"/>
              <w:rPr>
                <w:sz w:val="15"/>
                <w:szCs w:val="15"/>
                <w:color w:val="auto"/>
              </w:rPr>
            </w:pPr>
          </w:p>
        </w:tc>
        <w:tc>
          <w:tcPr>
            <w:tcW w:w="600" w:type="dxa"/>
            <w:vAlign w:val="bottom"/>
          </w:tcPr>
          <w:p>
            <w:pPr>
              <w:jc w:val="right"/>
              <w:ind w:right="4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108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77"/>
        </w:trPr>
        <w:tc>
          <w:tcPr>
            <w:tcW w:w="7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Average number of common shares outstanding (in thousands):</w:t>
            </w: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19,773</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16,982</w:t>
            </w:r>
          </w:p>
        </w:tc>
        <w:tc>
          <w:tcPr>
            <w:tcW w:w="0" w:type="dxa"/>
            <w:vAlign w:val="bottom"/>
          </w:tcPr>
          <w:p>
            <w:pPr>
              <w:spacing w:after="0"/>
              <w:rPr>
                <w:sz w:val="1"/>
                <w:szCs w:val="1"/>
                <w:color w:val="auto"/>
              </w:rPr>
            </w:pPr>
          </w:p>
        </w:tc>
      </w:tr>
      <w:tr>
        <w:trPr>
          <w:trHeight w:val="174"/>
        </w:trPr>
        <w:tc>
          <w:tcPr>
            <w:tcW w:w="7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22,446</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17,048</w:t>
            </w: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r>
      <w:tr>
        <w:trPr>
          <w:trHeight w:val="161"/>
        </w:trPr>
        <w:tc>
          <w:tcPr>
            <w:tcW w:w="77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r>
      <w:tr>
        <w:trPr>
          <w:trHeight w:val="16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8"/>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20" w:type="dxa"/>
            <w:vAlign w:val="bottom"/>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80" w:type="dxa"/>
            <w:vAlign w:val="bottom"/>
          </w:tcPr>
          <w:p>
            <w:pPr>
              <w:spacing w:after="0"/>
              <w:rPr>
                <w:sz w:val="14"/>
                <w:szCs w:val="14"/>
                <w:color w:val="auto"/>
              </w:rPr>
            </w:pP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r>
      <w:tr>
        <w:trPr>
          <w:trHeight w:val="17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cash used in operating activities:</w:t>
            </w: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8"/>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tax assets</w:t>
            </w: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68"/>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1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7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Revaluation of inventory borrowings</w:t>
            </w: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8"/>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extinguishment of 8.25% Notes</w:t>
            </w:r>
          </w:p>
        </w:tc>
        <w:tc>
          <w:tcPr>
            <w:tcW w:w="1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7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Amortization of debt issuance costs and discount</w:t>
            </w: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reconciling adjustments, net</w:t>
            </w:r>
          </w:p>
        </w:tc>
        <w:tc>
          <w:tcPr>
            <w:tcW w:w="1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7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receivable</w:t>
            </w:r>
          </w:p>
        </w:tc>
        <w:tc>
          <w:tcPr>
            <w:tcW w:w="1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r>
      <w:tr>
        <w:trPr>
          <w:trHeight w:val="17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Inventories</w:t>
            </w: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(268.1)</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Inventories owed to customers and suppliers</w:t>
            </w:r>
          </w:p>
        </w:tc>
        <w:tc>
          <w:tcPr>
            <w:tcW w:w="1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w:t>
            </w:r>
          </w:p>
        </w:tc>
      </w:tr>
      <w:tr>
        <w:trPr>
          <w:trHeight w:val="17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current assets</w:t>
            </w: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1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7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Payables under inventory purchase agreements</w:t>
            </w: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revenue and advances from customers, net of deferred costs</w:t>
            </w:r>
          </w:p>
        </w:tc>
        <w:tc>
          <w:tcPr>
            <w:tcW w:w="1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Pension and postretirement benefit liabilities</w:t>
            </w: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changes, net</w:t>
            </w:r>
          </w:p>
        </w:tc>
        <w:tc>
          <w:tcPr>
            <w:tcW w:w="1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60"/>
        </w:trPr>
        <w:tc>
          <w:tcPr>
            <w:tcW w:w="770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(used in) provided by operating activities</w:t>
            </w:r>
          </w:p>
        </w:tc>
        <w:tc>
          <w:tcPr>
            <w:tcW w:w="11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r>
      <w:tr>
        <w:trPr>
          <w:trHeight w:val="67"/>
        </w:trPr>
        <w:tc>
          <w:tcPr>
            <w:tcW w:w="7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68"/>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1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0"/>
        </w:trPr>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1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8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67"/>
        </w:trPr>
        <w:tc>
          <w:tcPr>
            <w:tcW w:w="7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68"/>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common stock, net</w:t>
            </w:r>
          </w:p>
        </w:tc>
        <w:tc>
          <w:tcPr>
            <w:tcW w:w="1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r>
      <w:tr>
        <w:trPr>
          <w:trHeight w:val="17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withheld for tax obligations under stock-based compensation plan</w:t>
            </w: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interest classified as debt</w:t>
            </w:r>
          </w:p>
        </w:tc>
        <w:tc>
          <w:tcPr>
            <w:tcW w:w="1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principal to redeem 8.25% Notes</w:t>
            </w:r>
          </w:p>
        </w:tc>
        <w:tc>
          <w:tcPr>
            <w:tcW w:w="1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w:t>
            </w:r>
          </w:p>
        </w:tc>
      </w:tr>
      <w:tr>
        <w:trPr>
          <w:trHeight w:val="158"/>
        </w:trPr>
        <w:tc>
          <w:tcPr>
            <w:tcW w:w="77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Cash used in financing activities</w:t>
            </w:r>
          </w:p>
        </w:tc>
        <w:tc>
          <w:tcPr>
            <w:tcW w:w="1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8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w:t>
            </w:r>
          </w:p>
        </w:tc>
      </w:tr>
      <w:tr>
        <w:trPr>
          <w:trHeight w:val="67"/>
        </w:trPr>
        <w:tc>
          <w:tcPr>
            <w:tcW w:w="7700" w:type="dxa"/>
            <w:vAlign w:val="bottom"/>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4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r>
      <w:tr>
        <w:trPr>
          <w:trHeight w:val="158"/>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67"/>
        </w:trPr>
        <w:tc>
          <w:tcPr>
            <w:tcW w:w="77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r>
      <w:tr>
        <w:trPr>
          <w:trHeight w:val="168"/>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Decrease in cash, cash equivalents and restricted cash</w:t>
            </w:r>
          </w:p>
        </w:tc>
        <w:tc>
          <w:tcPr>
            <w:tcW w:w="1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r>
      <w:tr>
        <w:trPr>
          <w:trHeight w:val="17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 (Note 3)</w:t>
            </w:r>
          </w:p>
        </w:tc>
        <w:tc>
          <w:tcPr>
            <w:tcW w:w="1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1,960.1</w:t>
            </w:r>
          </w:p>
        </w:tc>
        <w:tc>
          <w:tcPr>
            <w:tcW w:w="1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704.0</w:t>
            </w:r>
          </w:p>
        </w:tc>
      </w:tr>
      <w:tr>
        <w:trPr>
          <w:trHeight w:val="16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end of period (Note 3)</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1,901.2</w:t>
            </w: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685.7</w:t>
            </w:r>
          </w:p>
        </w:tc>
      </w:tr>
      <w:tr>
        <w:trPr>
          <w:trHeight w:val="20"/>
        </w:trPr>
        <w:tc>
          <w:tcPr>
            <w:tcW w:w="7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61"/>
        </w:trPr>
        <w:tc>
          <w:tcPr>
            <w:tcW w:w="77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66"/>
        </w:trPr>
        <w:tc>
          <w:tcPr>
            <w:tcW w:w="77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168"/>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cash flow disclosures: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paid for interest</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Federal</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State</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Foreign</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85"/>
        </w:trPr>
        <w:tc>
          <w:tcPr>
            <w:tcW w:w="7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17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activities: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8"/>
        </w:trPr>
        <w:tc>
          <w:tcPr>
            <w:tcW w:w="7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Property, plant and equipment included in accounts payable and accrued liabilities</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7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 withheld for tax obligations under stock-based compensation plan</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Excess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w w:val="98"/>
              </w:rPr>
              <w:t>Class A,</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Class B,</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w w:val="97"/>
              </w:rPr>
              <w:t>Par Value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240"/>
              <w:spacing w:after="0" w:line="117" w:lineRule="exact"/>
              <w:rPr>
                <w:sz w:val="20"/>
                <w:szCs w:val="20"/>
                <w:color w:val="auto"/>
              </w:rPr>
            </w:pPr>
            <w:r>
              <w:rPr>
                <w:rFonts w:ascii="Times New Roman" w:cs="Times New Roman" w:eastAsia="Times New Roman" w:hAnsi="Times New Roman"/>
                <w:sz w:val="11"/>
                <w:szCs w:val="11"/>
                <w:b w:val="1"/>
                <w:bCs w:val="1"/>
                <w:color w:val="auto"/>
              </w:rPr>
              <w:t>Par Value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Capital Over</w:t>
            </w:r>
          </w:p>
        </w:tc>
        <w:tc>
          <w:tcPr>
            <w:tcW w:w="80" w:type="dxa"/>
            <w:vAlign w:val="bottom"/>
          </w:tcPr>
          <w:p>
            <w:pPr>
              <w:spacing w:after="0"/>
              <w:rPr>
                <w:sz w:val="10"/>
                <w:szCs w:val="10"/>
                <w:color w:val="auto"/>
              </w:rPr>
            </w:pPr>
          </w:p>
        </w:tc>
        <w:tc>
          <w:tcPr>
            <w:tcW w:w="120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4"/>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Other Comprehensive</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28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Loss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236.5</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(0.5)</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7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Net income for the three months ended March 31,</w:t>
            </w:r>
          </w:p>
        </w:tc>
        <w:tc>
          <w:tcPr>
            <w:tcW w:w="120" w:type="dxa"/>
            <w:vAlign w:val="bottom"/>
          </w:tcPr>
          <w:p>
            <w:pPr>
              <w:spacing w:after="0"/>
              <w:rPr>
                <w:sz w:val="11"/>
                <w:szCs w:val="11"/>
                <w:color w:val="auto"/>
              </w:rPr>
            </w:pPr>
          </w:p>
        </w:tc>
        <w:tc>
          <w:tcPr>
            <w:tcW w:w="1040" w:type="dxa"/>
            <w:vAlign w:val="bottom"/>
            <w:gridSpan w:val="3"/>
            <w:vMerge w:val="restart"/>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2025</w:t>
            </w: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1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7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Equity-related compensation shares withheld for</w:t>
            </w:r>
          </w:p>
        </w:tc>
        <w:tc>
          <w:tcPr>
            <w:tcW w:w="120" w:type="dxa"/>
            <w:vAlign w:val="bottom"/>
          </w:tcPr>
          <w:p>
            <w:pPr>
              <w:spacing w:after="0"/>
              <w:rPr>
                <w:sz w:val="11"/>
                <w:szCs w:val="11"/>
                <w:color w:val="auto"/>
              </w:rPr>
            </w:pPr>
          </w:p>
        </w:tc>
        <w:tc>
          <w:tcPr>
            <w:tcW w:w="1040" w:type="dxa"/>
            <w:vAlign w:val="bottom"/>
            <w:gridSpan w:val="3"/>
            <w:vMerge w:val="restart"/>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(0.1)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120" w:type="dxa"/>
            <w:vAlign w:val="bottom"/>
          </w:tcPr>
          <w:p>
            <w:pPr>
              <w:spacing w:after="0"/>
              <w:rPr>
                <w:sz w:val="14"/>
                <w:szCs w:val="14"/>
                <w:color w:val="auto"/>
              </w:rPr>
            </w:pPr>
          </w:p>
        </w:tc>
        <w:tc>
          <w:tcPr>
            <w:tcW w:w="1040" w:type="dxa"/>
            <w:vAlign w:val="bottom"/>
            <w:gridSpan w:val="3"/>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261.9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3"/>
                <w:szCs w:val="13"/>
                <w:b w:val="1"/>
                <w:bCs w:val="1"/>
                <w:color w:val="auto"/>
              </w:rPr>
              <w:t>(0.6)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Excess of</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Class A,</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Class B,</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Par Value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w w:val="97"/>
              </w:rPr>
              <w:t>Par Value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Capital Over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Other Comprehensive</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Par Value</w:t>
            </w:r>
          </w:p>
        </w:tc>
        <w:tc>
          <w:tcPr>
            <w:tcW w:w="80" w:type="dxa"/>
            <w:vAlign w:val="bottom"/>
          </w:tcPr>
          <w:p>
            <w:pPr>
              <w:spacing w:after="0"/>
              <w:rPr>
                <w:sz w:val="13"/>
                <w:szCs w:val="13"/>
                <w:color w:val="auto"/>
              </w:rPr>
            </w:pPr>
          </w:p>
        </w:tc>
        <w:tc>
          <w:tcPr>
            <w:tcW w:w="120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Loss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0.1</w:t>
            </w:r>
          </w:p>
        </w:tc>
        <w:tc>
          <w:tcPr>
            <w:tcW w:w="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762.3</w:t>
            </w: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w w:val="96"/>
              </w:rPr>
              <w:t>(0.7)</w:t>
            </w:r>
          </w:p>
        </w:tc>
        <w:tc>
          <w:tcPr>
            <w:tcW w:w="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765.1</w:t>
            </w:r>
          </w:p>
        </w:tc>
        <w:tc>
          <w:tcPr>
            <w:tcW w:w="0" w:type="dxa"/>
            <w:vAlign w:val="bottom"/>
          </w:tcPr>
          <w:p>
            <w:pPr>
              <w:spacing w:after="0"/>
              <w:rPr>
                <w:sz w:val="1"/>
                <w:szCs w:val="1"/>
                <w:color w:val="auto"/>
              </w:rPr>
            </w:pPr>
          </w:p>
        </w:tc>
      </w:tr>
      <w:tr>
        <w:trPr>
          <w:trHeight w:val="127"/>
        </w:trPr>
        <w:tc>
          <w:tcPr>
            <w:tcW w:w="27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Net income for the three months ended March 31,</w:t>
            </w:r>
          </w:p>
        </w:tc>
        <w:tc>
          <w:tcPr>
            <w:tcW w:w="120" w:type="dxa"/>
            <w:vAlign w:val="bottom"/>
          </w:tcPr>
          <w:p>
            <w:pPr>
              <w:spacing w:after="0"/>
              <w:rPr>
                <w:sz w:val="11"/>
                <w:szCs w:val="11"/>
                <w:color w:val="auto"/>
              </w:rPr>
            </w:pPr>
          </w:p>
        </w:tc>
        <w:tc>
          <w:tcPr>
            <w:tcW w:w="1040" w:type="dxa"/>
            <w:vAlign w:val="bottom"/>
            <w:gridSpan w:val="3"/>
            <w:vMerge w:val="restart"/>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2026</w:t>
            </w: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Equity-related compensation shares withheld for</w:t>
            </w:r>
          </w:p>
        </w:tc>
        <w:tc>
          <w:tcPr>
            <w:tcW w:w="12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3"/>
            <w:vMerge w:val="restart"/>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12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120" w:type="dxa"/>
            <w:vAlign w:val="bottom"/>
          </w:tcPr>
          <w:p>
            <w:pPr>
              <w:spacing w:after="0"/>
              <w:rPr>
                <w:sz w:val="14"/>
                <w:szCs w:val="14"/>
                <w:color w:val="auto"/>
              </w:rPr>
            </w:pPr>
          </w:p>
        </w:tc>
        <w:tc>
          <w:tcPr>
            <w:tcW w:w="1040" w:type="dxa"/>
            <w:vAlign w:val="bottom"/>
            <w:gridSpan w:val="3"/>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88"/>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0.1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762.4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b w:val="1"/>
                <w:bCs w:val="1"/>
                <w:color w:val="auto"/>
                <w:w w:val="96"/>
              </w:rPr>
              <w:t>(0.7)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775.2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CENTRUS ENERGY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C</w:t>
      </w:r>
      <w:r>
        <w:rPr>
          <w:rFonts w:ascii="Times New Roman" w:cs="Times New Roman" w:eastAsia="Times New Roman" w:hAnsi="Times New Roman"/>
          <w:sz w:val="14"/>
          <w:szCs w:val="14"/>
          <w:b w:val="1"/>
          <w:bCs w:val="1"/>
          <w:color w:val="auto"/>
        </w:rPr>
        <w:t>ONDENSED C</w:t>
      </w:r>
      <w:r>
        <w:rPr>
          <w:rFonts w:ascii="Times New Roman" w:cs="Times New Roman" w:eastAsia="Times New Roman" w:hAnsi="Times New Roman"/>
          <w:sz w:val="16"/>
          <w:szCs w:val="16"/>
          <w:b w:val="1"/>
          <w:bCs w:val="1"/>
          <w:color w:val="auto"/>
        </w:rPr>
        <w:t>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189"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The unaudited condensed consolidated financial statements (the “Financial Statements”) of Centrus (the “Company”), which include the accounts of the Company, its principal subsidiary, Enrichment Corp., and its other subsidiaries, as of March 31, 2026, and for the three months ended March 31, 2026, and 2025, have been prepared pursuant to the rules and regulations of the SEC. The unaudited condensed Consolidated Balance Sheet as of December 31, 2025, was derived from audited Consolidated Financial Statements, but does not include all disclosures required by U.S. GAAP. In the opinion of management, the Financial Statements reflect all adjustments, including normal recurring adjustments, necessary for a fair statement of the financial results for the interim period. Certain prior year amounts have been reclassified for consistency with the current year presentation. Certain information and notes normally included in financial statements prepared in accordance with U.S. GAAP have been omitted pursuant to such rules and regulations. All material intercompany transactions have been eliminated. The Company’s components of comprehensive income for the three months ended March 31, 2026 and 2025, are insignificant.</w:t>
      </w:r>
    </w:p>
    <w:p>
      <w:pPr>
        <w:spacing w:after="0" w:line="166" w:lineRule="exact"/>
        <w:rPr>
          <w:sz w:val="20"/>
          <w:szCs w:val="20"/>
          <w:color w:val="auto"/>
        </w:rPr>
      </w:pPr>
    </w:p>
    <w:p>
      <w:pPr>
        <w:ind w:firstLine="191"/>
        <w:spacing w:after="0" w:line="346" w:lineRule="auto"/>
        <w:rPr>
          <w:sz w:val="20"/>
          <w:szCs w:val="20"/>
          <w:color w:val="auto"/>
        </w:rPr>
      </w:pPr>
      <w:r>
        <w:rPr>
          <w:rFonts w:ascii="Times New Roman" w:cs="Times New Roman" w:eastAsia="Times New Roman" w:hAnsi="Times New Roman"/>
          <w:sz w:val="14"/>
          <w:szCs w:val="14"/>
          <w:color w:val="auto"/>
        </w:rPr>
        <w:t>Operating results for the three months ended March 31, 2026 are not necessarily indicative of the results that may be expected for the year ending December 31, 2026. The Financial Statements should be read in conjunction with the Consolidated Financial Statements included in the Annual Report on Form 10-K for the year ended December 31,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98" w:lineRule="exact"/>
        <w:rPr>
          <w:sz w:val="20"/>
          <w:szCs w:val="20"/>
          <w:color w:val="auto"/>
        </w:rPr>
      </w:pPr>
    </w:p>
    <w:p>
      <w:pPr>
        <w:ind w:right="20" w:firstLine="191"/>
        <w:spacing w:after="0" w:line="275" w:lineRule="auto"/>
        <w:rPr>
          <w:sz w:val="20"/>
          <w:szCs w:val="20"/>
          <w:color w:val="auto"/>
        </w:rPr>
      </w:pPr>
      <w:r>
        <w:rPr>
          <w:rFonts w:ascii="Times New Roman" w:cs="Times New Roman" w:eastAsia="Times New Roman" w:hAnsi="Times New Roman"/>
          <w:sz w:val="16"/>
          <w:szCs w:val="16"/>
          <w:color w:val="auto"/>
        </w:rPr>
        <w:t xml:space="preserve">The accounting policies of the Company are set forth in Note 1,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of the Consolidated Financial Statements in the Company’s Annual Report on Form 10-K for the year ended December 31, 2025. There has not been a material change to the Company’s accounting policies since that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Standards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Standards Effective in Future Periods</w:t>
      </w:r>
    </w:p>
    <w:p>
      <w:pPr>
        <w:spacing w:after="0" w:line="187"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Statement-Reporting Comprehensive Income-Expense Disaggregation Disclosures (Subtopic 220-40):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Disaggregation of Income Statement Expenses</w:t>
      </w:r>
      <w:r>
        <w:rPr>
          <w:rFonts w:ascii="Times New Roman" w:cs="Times New Roman" w:eastAsia="Times New Roman" w:hAnsi="Times New Roman"/>
          <w:sz w:val="16"/>
          <w:szCs w:val="16"/>
          <w:color w:val="auto"/>
        </w:rPr>
        <w:t>, requiring public entities to disclose additional information about specific expense categories in the notes to the financial statements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an interim and annual basis. This pronouncement is effective for fiscal years beginning after December 15, 2026, and for interim periods beginning after December 15, 2027, and early adoption is permitted. The Company is evaluating the impact this pronouncement will have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12" w:name="page13"/>
    <w:bookmarkEnd w:id="12"/>
    <w:p>
      <w:pPr>
        <w:ind w:firstLine="191"/>
        <w:spacing w:after="0" w:line="248" w:lineRule="auto"/>
        <w:rPr>
          <w:sz w:val="20"/>
          <w:szCs w:val="20"/>
          <w:color w:val="auto"/>
        </w:rPr>
      </w:pPr>
      <w:r>
        <w:rPr>
          <w:rFonts w:ascii="Times New Roman" w:cs="Times New Roman" w:eastAsia="Times New Roman" w:hAnsi="Times New Roman"/>
          <w:sz w:val="16"/>
          <w:szCs w:val="16"/>
          <w:color w:val="auto"/>
        </w:rPr>
        <w:t xml:space="preserve">In December 2025, the FASB issued ASU 2025-10, </w:t>
      </w:r>
      <w:r>
        <w:rPr>
          <w:rFonts w:ascii="Times New Roman" w:cs="Times New Roman" w:eastAsia="Times New Roman" w:hAnsi="Times New Roman"/>
          <w:sz w:val="16"/>
          <w:szCs w:val="16"/>
          <w:i w:val="1"/>
          <w:iCs w:val="1"/>
          <w:color w:val="auto"/>
        </w:rPr>
        <w:t>Government Grants (Topic 832), Accounting for Government Grants Received by Business Entities</w:t>
      </w:r>
      <w:r>
        <w:rPr>
          <w:rFonts w:ascii="Times New Roman" w:cs="Times New Roman" w:eastAsia="Times New Roman" w:hAnsi="Times New Roman"/>
          <w:sz w:val="16"/>
          <w:szCs w:val="16"/>
          <w:color w:val="auto"/>
        </w:rPr>
        <w:t>, to establish authoritative guidance on the accounting for government grants received by business entities. The amendments in this pronouncement establish the accounting for a government grant received by a business entity, including guidance for (1) a grant related to an asset and (2) a grant related to income. A grant related to an asset is a government grant, or part of a government grant, that is conditioned on the purchase, construction, or acquisition of an asset (for example, a long-lived asset or inventory). A grant related to income is a government grant, or part of a government grant, other than a grant related to an asset (for example, a grant that reimburses a business entity for operating expenses). This pronouncement is effective for annual reporting periods beginning after December 15, 2028, and for interim periods within those annual periods, and early adoption is permitted. The Company is evaluating the impact this pronouncement will have on its Financial Statements.</w:t>
      </w:r>
    </w:p>
    <w:p>
      <w:pPr>
        <w:spacing w:after="0" w:line="165" w:lineRule="exact"/>
        <w:rPr>
          <w:sz w:val="20"/>
          <w:szCs w:val="20"/>
          <w:color w:val="auto"/>
        </w:rPr>
      </w:pPr>
    </w:p>
    <w:p>
      <w:pPr>
        <w:ind w:right="280" w:firstLine="191"/>
        <w:spacing w:after="0" w:line="253" w:lineRule="auto"/>
        <w:rPr>
          <w:sz w:val="20"/>
          <w:szCs w:val="20"/>
          <w:color w:val="auto"/>
        </w:rPr>
      </w:pPr>
      <w:r>
        <w:rPr>
          <w:rFonts w:ascii="Times New Roman" w:cs="Times New Roman" w:eastAsia="Times New Roman" w:hAnsi="Times New Roman"/>
          <w:sz w:val="16"/>
          <w:szCs w:val="16"/>
          <w:color w:val="auto"/>
        </w:rPr>
        <w:t xml:space="preserve">In December 2025, the FASB issued ASU 2025-11, </w:t>
      </w:r>
      <w:r>
        <w:rPr>
          <w:rFonts w:ascii="Times New Roman" w:cs="Times New Roman" w:eastAsia="Times New Roman" w:hAnsi="Times New Roman"/>
          <w:sz w:val="16"/>
          <w:szCs w:val="16"/>
          <w:i w:val="1"/>
          <w:iCs w:val="1"/>
          <w:color w:val="auto"/>
        </w:rPr>
        <w:t>Interim Reporting (Topic 270): Narrow-Scope Improvements</w:t>
      </w:r>
      <w:r>
        <w:rPr>
          <w:rFonts w:ascii="Times New Roman" w:cs="Times New Roman" w:eastAsia="Times New Roman" w:hAnsi="Times New Roman"/>
          <w:sz w:val="16"/>
          <w:szCs w:val="16"/>
          <w:color w:val="auto"/>
        </w:rPr>
        <w:t xml:space="preserve"> to clarify the applicability of Topic 270 and the form and content of interim financial statements. The amendments in this pronouncement require entities to disclose material events occurring since the last annual reporting period. This pronouncement is effective for interim periods beginning January 1, 2028, and can be applied on a prospective or retrospective basis. The Company is evaluating the impact this pronouncement will have on its Financial Statements.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REVENUE AND CONTRACTS WITH CUSTOMERS</w:t>
      </w:r>
    </w:p>
    <w:p>
      <w:pPr>
        <w:spacing w:after="0" w:line="132" w:lineRule="exact"/>
        <w:rPr>
          <w:sz w:val="20"/>
          <w:szCs w:val="20"/>
          <w:color w:val="auto"/>
        </w:rPr>
      </w:pPr>
    </w:p>
    <w:p>
      <w:pPr>
        <w:jc w:val="both"/>
        <w:ind w:right="80" w:firstLine="191"/>
        <w:spacing w:after="0" w:line="235" w:lineRule="auto"/>
        <w:rPr>
          <w:sz w:val="20"/>
          <w:szCs w:val="20"/>
          <w:color w:val="auto"/>
        </w:rPr>
      </w:pPr>
      <w:r>
        <w:rPr>
          <w:rFonts w:ascii="Times New Roman" w:cs="Times New Roman" w:eastAsia="Times New Roman" w:hAnsi="Times New Roman"/>
          <w:sz w:val="16"/>
          <w:szCs w:val="16"/>
          <w:color w:val="auto"/>
        </w:rPr>
        <w:t>Revenue for the LEU segment is derived from the sales of the SWU component of LEU, from sales of both the SWU and uranium components, and from sales of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and U</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6"/>
          <w:szCs w:val="16"/>
          <w:color w:val="auto"/>
        </w:rPr>
        <w:t>O</w:t>
      </w:r>
      <w:r>
        <w:rPr>
          <w:rFonts w:ascii="Times New Roman" w:cs="Times New Roman" w:eastAsia="Times New Roman" w:hAnsi="Times New Roman"/>
          <w:sz w:val="20"/>
          <w:szCs w:val="20"/>
          <w:color w:val="auto"/>
          <w:vertAlign w:val="subscript"/>
        </w:rPr>
        <w:t>8</w:t>
      </w:r>
      <w:r>
        <w:rPr>
          <w:rFonts w:ascii="Times New Roman" w:cs="Times New Roman" w:eastAsia="Times New Roman" w:hAnsi="Times New Roman"/>
          <w:sz w:val="16"/>
          <w:szCs w:val="16"/>
          <w:color w:val="auto"/>
        </w:rPr>
        <w:t>, to electric utility customers and other nuclear fuel related companies. Technical Solutions revenue is derived from advanced manufacturing and other technical services provided to the U.S. government and private sector customers.</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LEU Segment</w:t>
      </w:r>
    </w:p>
    <w:p>
      <w:pPr>
        <w:spacing w:after="0" w:line="200" w:lineRule="exact"/>
        <w:rPr>
          <w:sz w:val="20"/>
          <w:szCs w:val="20"/>
          <w:color w:val="auto"/>
        </w:rPr>
      </w:pPr>
    </w:p>
    <w:p>
      <w:pPr>
        <w:ind w:right="80" w:firstLine="191"/>
        <w:spacing w:after="0" w:line="247" w:lineRule="auto"/>
        <w:rPr>
          <w:sz w:val="20"/>
          <w:szCs w:val="20"/>
          <w:color w:val="auto"/>
        </w:rPr>
      </w:pPr>
      <w:r>
        <w:rPr>
          <w:rFonts w:ascii="Times New Roman" w:cs="Times New Roman" w:eastAsia="Times New Roman" w:hAnsi="Times New Roman"/>
          <w:sz w:val="16"/>
          <w:szCs w:val="16"/>
          <w:color w:val="auto"/>
        </w:rPr>
        <w:t xml:space="preserve">SWU and uranium revenue is recognized when the customer obtains control of the SWU or uranium components. The SWU component of LEU typically is sold under contracts with deliveries over several years. The Company’s agreements for natural uranium hexafluoride and uranium concentrate sales generally are shorter-term, fixed-commitment contracts. </w:t>
      </w:r>
      <w:r>
        <w:rPr>
          <w:rFonts w:ascii="Times New Roman" w:cs="Times New Roman" w:eastAsia="Times New Roman" w:hAnsi="Times New Roman"/>
          <w:sz w:val="16"/>
          <w:szCs w:val="16"/>
          <w:color w:val="0D0D0D"/>
        </w:rPr>
        <w:t>Most of</w:t>
      </w:r>
      <w:r>
        <w:rPr>
          <w:rFonts w:ascii="Times New Roman" w:cs="Times New Roman" w:eastAsia="Times New Roman" w:hAnsi="Times New Roman"/>
          <w:sz w:val="16"/>
          <w:szCs w:val="16"/>
          <w:color w:val="auto"/>
        </w:rPr>
        <w:t xml:space="preserve"> the Company’s </w:t>
      </w:r>
      <w:r>
        <w:rPr>
          <w:rFonts w:ascii="Times New Roman" w:cs="Times New Roman" w:eastAsia="Times New Roman" w:hAnsi="Times New Roman"/>
          <w:sz w:val="16"/>
          <w:szCs w:val="16"/>
          <w:color w:val="0D0D0D"/>
        </w:rPr>
        <w:t>customer contracts provide for fixed purchases of SWU during a given year. Depending on the terms of specific contracts, the customer may 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D0D0D"/>
        </w:rPr>
        <w:t>able to increase or decrease the quantity delivered within an agreed range.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Disaggregation of Revenue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presents revenue from SWU and uranium sales disaggregated by geographical region based on the billing addresses of customers (in millions):</w:t>
      </w:r>
    </w:p>
    <w:p>
      <w:pPr>
        <w:spacing w:after="0" w:line="291" w:lineRule="exact"/>
        <w:rPr>
          <w:sz w:val="20"/>
          <w:szCs w:val="20"/>
          <w:color w:val="auto"/>
        </w:rPr>
      </w:pPr>
    </w:p>
    <w:tbl>
      <w:tblPr>
        <w:tblLayout w:type="fixed"/>
        <w:tblInd w:w="266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176"/>
        </w:trPr>
        <w:tc>
          <w:tcPr>
            <w:tcW w:w="33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2026</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5"/>
                <w:szCs w:val="15"/>
                <w:color w:val="auto"/>
              </w:rPr>
            </w:pPr>
          </w:p>
        </w:tc>
      </w:tr>
      <w:tr>
        <w:trPr>
          <w:trHeight w:val="17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94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r>
      <w:tr>
        <w:trPr>
          <w:trHeight w:val="177"/>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Foreign</w:t>
            </w:r>
          </w:p>
        </w:tc>
        <w:tc>
          <w:tcPr>
            <w:tcW w:w="9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8"/>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 - SWU and uranium</w:t>
            </w: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44.6</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51.3</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Refer to Note 12</w:t>
      </w:r>
      <w:r>
        <w:rPr>
          <w:rFonts w:ascii="Times New Roman" w:cs="Times New Roman" w:eastAsia="Times New Roman" w:hAnsi="Times New Roman"/>
          <w:sz w:val="16"/>
          <w:szCs w:val="16"/>
          <w:i w:val="1"/>
          <w:iCs w:val="1"/>
          <w:color w:val="auto"/>
        </w:rPr>
        <w:t>, Segment Information,</w:t>
      </w:r>
      <w:r>
        <w:rPr>
          <w:rFonts w:ascii="Times New Roman" w:cs="Times New Roman" w:eastAsia="Times New Roman" w:hAnsi="Times New Roman"/>
          <w:sz w:val="16"/>
          <w:szCs w:val="16"/>
          <w:color w:val="auto"/>
        </w:rPr>
        <w:t xml:space="preserve"> for disaggregation of revenue by segment.</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Technical Solutions Segment</w:t>
      </w:r>
    </w:p>
    <w:p>
      <w:pPr>
        <w:spacing w:after="0" w:line="200" w:lineRule="exact"/>
        <w:rPr>
          <w:sz w:val="20"/>
          <w:szCs w:val="20"/>
          <w:color w:val="auto"/>
        </w:rPr>
      </w:pPr>
    </w:p>
    <w:p>
      <w:pPr>
        <w:ind w:right="360" w:firstLine="191"/>
        <w:spacing w:after="0" w:line="330" w:lineRule="auto"/>
        <w:rPr>
          <w:sz w:val="20"/>
          <w:szCs w:val="20"/>
          <w:color w:val="auto"/>
        </w:rPr>
      </w:pPr>
      <w:r>
        <w:rPr>
          <w:rFonts w:ascii="Times New Roman" w:cs="Times New Roman" w:eastAsia="Times New Roman" w:hAnsi="Times New Roman"/>
          <w:sz w:val="14"/>
          <w:szCs w:val="14"/>
          <w:color w:val="auto"/>
        </w:rPr>
        <w:t>Revenue for the Technical Solutions segment, representing the Company’s uranium enrichment, advanced manufacturing, and other technical services offered to public and private sector customers, is recognized over time as the performance obligation is satisfied or at the point in time in which each performance obligation is fully satisfied.</w:t>
      </w:r>
    </w:p>
    <w:p>
      <w:pPr>
        <w:spacing w:after="0" w:line="120" w:lineRule="exact"/>
        <w:rPr>
          <w:sz w:val="20"/>
          <w:szCs w:val="20"/>
          <w:color w:val="auto"/>
        </w:rPr>
      </w:pPr>
    </w:p>
    <w:p>
      <w:pPr>
        <w:ind w:right="140" w:firstLine="191"/>
        <w:spacing w:after="0" w:line="252" w:lineRule="auto"/>
        <w:rPr>
          <w:sz w:val="20"/>
          <w:szCs w:val="20"/>
          <w:color w:val="auto"/>
        </w:rPr>
      </w:pPr>
      <w:r>
        <w:rPr>
          <w:rFonts w:ascii="Times New Roman" w:cs="Times New Roman" w:eastAsia="Times New Roman" w:hAnsi="Times New Roman"/>
          <w:sz w:val="16"/>
          <w:szCs w:val="16"/>
          <w:color w:val="auto"/>
        </w:rPr>
        <w:t>The Company’s work on HALEU began under the HALEU Demonstration Contract, signed with the DOE in 2019, to construct a cascade of 16 centrifuges to demonstrate production of HALEU for advanced reactors. Following the HALEU Demonstration Contract, in November 2022, the DOE awarded the HALEU Operation Contract to the Company with an initial base contract value of approximately $150.0 million in two phases through 2024, with three optional periods for up to nine additional years of production beyond the base contract. Those options are at the DOE’s sole discretion and subject to the availability of Congressional appropriations.</w:t>
      </w:r>
    </w:p>
    <w:p>
      <w:pPr>
        <w:spacing w:after="0" w:line="161" w:lineRule="exact"/>
        <w:rPr>
          <w:sz w:val="20"/>
          <w:szCs w:val="20"/>
          <w:color w:val="auto"/>
        </w:rPr>
      </w:pPr>
    </w:p>
    <w:p>
      <w:pPr>
        <w:ind w:firstLine="191"/>
        <w:spacing w:after="0" w:line="234" w:lineRule="auto"/>
        <w:rPr>
          <w:sz w:val="20"/>
          <w:szCs w:val="20"/>
          <w:color w:val="auto"/>
        </w:rPr>
      </w:pPr>
      <w:r>
        <w:rPr>
          <w:rFonts w:ascii="Times New Roman" w:cs="Times New Roman" w:eastAsia="Times New Roman" w:hAnsi="Times New Roman"/>
          <w:sz w:val="16"/>
          <w:szCs w:val="16"/>
          <w:color w:val="auto"/>
        </w:rPr>
        <w:t>In November 2023, the Company announced that it made its first contractual delivery of HALEU to the DOE, completing Phase 1 of the HALEU Operation Contract. As a result of delays in obtaining 5B Cylinders DOE is contractually obligated to provide under the HALEU Operation Contract, Phase 2 of the HALEU Operation Contract was extended through June 2025, when Centrus contractually delivered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to DOE, completing Phase 2. The fee for the Phase 2 period of performance that was extended beyond November 30, 2024 was not definitized and is subject to negotiation.</w:t>
      </w:r>
    </w:p>
    <w:p>
      <w:pPr>
        <w:spacing w:after="0" w:line="182" w:lineRule="exact"/>
        <w:rPr>
          <w:sz w:val="20"/>
          <w:szCs w:val="20"/>
          <w:color w:val="auto"/>
        </w:rPr>
      </w:pPr>
    </w:p>
    <w:p>
      <w:pPr>
        <w:ind w:right="240" w:firstLine="191"/>
        <w:spacing w:after="0" w:line="247" w:lineRule="auto"/>
        <w:rPr>
          <w:sz w:val="20"/>
          <w:szCs w:val="20"/>
          <w:color w:val="auto"/>
        </w:rPr>
      </w:pPr>
      <w:r>
        <w:rPr>
          <w:rFonts w:ascii="Times New Roman" w:cs="Times New Roman" w:eastAsia="Times New Roman" w:hAnsi="Times New Roman"/>
          <w:sz w:val="16"/>
          <w:szCs w:val="16"/>
          <w:color w:val="auto"/>
        </w:rPr>
        <w:t>On June 17, 2025, the DOE issued an amendment to the HALEU Operation Contract that split the first three-year option period into a first option period of one year (“Option 1a”) and a second option period of two years (“Option 1b”). The amendment established a target cost and fee for Option 1a of approximately $99.3 million and $8.7 million, respectively, and a target cost and fee for Option 1b of $163.5 million and $15.2 million, respectively. In conjunction with the amendment, the DOE exercised Option 1a and extended the period of performance to June 30, 2026. As of March 31, 2026, Option 1a is funded for the contract value of $108.2 million.</w:t>
      </w:r>
    </w:p>
    <w:p>
      <w:pPr>
        <w:spacing w:after="0" w:line="174" w:lineRule="exact"/>
        <w:rPr>
          <w:sz w:val="20"/>
          <w:szCs w:val="20"/>
          <w:color w:val="auto"/>
        </w:rPr>
      </w:pPr>
    </w:p>
    <w:p>
      <w:pPr>
        <w:ind w:firstLine="191"/>
        <w:spacing w:after="0" w:line="253" w:lineRule="auto"/>
        <w:rPr>
          <w:sz w:val="20"/>
          <w:szCs w:val="20"/>
          <w:color w:val="auto"/>
        </w:rPr>
      </w:pPr>
      <w:r>
        <w:rPr>
          <w:rFonts w:ascii="Times New Roman" w:cs="Times New Roman" w:eastAsia="Times New Roman" w:hAnsi="Times New Roman"/>
          <w:sz w:val="16"/>
          <w:szCs w:val="16"/>
          <w:color w:val="auto"/>
        </w:rPr>
        <w:t xml:space="preserve">Costs under the HALEU Operation Contract include program costs, including direct labor and materials and associated indirect costs that are classified as </w:t>
      </w:r>
      <w:r>
        <w:rPr>
          <w:rFonts w:ascii="Times New Roman" w:cs="Times New Roman" w:eastAsia="Times New Roman" w:hAnsi="Times New Roman"/>
          <w:sz w:val="16"/>
          <w:szCs w:val="16"/>
          <w:i w:val="1"/>
          <w:iCs w:val="1"/>
          <w:color w:val="auto"/>
        </w:rPr>
        <w:t>Cost of Sales</w:t>
      </w:r>
      <w:r>
        <w:rPr>
          <w:rFonts w:ascii="Times New Roman" w:cs="Times New Roman" w:eastAsia="Times New Roman" w:hAnsi="Times New Roman"/>
          <w:sz w:val="16"/>
          <w:szCs w:val="16"/>
          <w:color w:val="auto"/>
        </w:rPr>
        <w:t xml:space="preserve">, and an allocation of corporate costs supporting the program that are classified as </w:t>
      </w:r>
      <w:r>
        <w:rPr>
          <w:rFonts w:ascii="Times New Roman" w:cs="Times New Roman" w:eastAsia="Times New Roman" w:hAnsi="Times New Roman"/>
          <w:sz w:val="16"/>
          <w:szCs w:val="16"/>
          <w:i w:val="1"/>
          <w:iCs w:val="1"/>
          <w:color w:val="auto"/>
        </w:rPr>
        <w:t>Selling, General and Administrative Expenses</w:t>
      </w:r>
      <w:r>
        <w:rPr>
          <w:rFonts w:ascii="Times New Roman" w:cs="Times New Roman" w:eastAsia="Times New Roman" w:hAnsi="Times New Roman"/>
          <w:sz w:val="16"/>
          <w:szCs w:val="16"/>
          <w:color w:val="auto"/>
        </w:rPr>
        <w:t>. The HALEU Operation Contract is funded incrementally, and as of March 31, 2026, DOE is obligated for costs up to $317.0 million in the aggregate for Phase 1, Phase 2, Option 1a of Phase 3, and the additional scope work. The Company has received aggregate cash payments under the HALEU Operation Contract of $247.8 million through March 31, 2026.</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14" w:name="page15"/>
    <w:bookmarkEnd w:id="14"/>
    <w:p>
      <w:pPr>
        <w:ind w:right="160" w:firstLine="191"/>
        <w:spacing w:after="0" w:line="252" w:lineRule="auto"/>
        <w:rPr>
          <w:sz w:val="20"/>
          <w:szCs w:val="20"/>
          <w:color w:val="auto"/>
        </w:rPr>
      </w:pPr>
      <w:r>
        <w:rPr>
          <w:rFonts w:ascii="Times New Roman" w:cs="Times New Roman" w:eastAsia="Times New Roman" w:hAnsi="Times New Roman"/>
          <w:sz w:val="16"/>
          <w:szCs w:val="16"/>
          <w:color w:val="auto"/>
        </w:rPr>
        <w:t>The Company does not have a contractual obligation to perform work in excess of the funding provided by the DOE. If the DOE does not commit to additional costs above the existing funding, the Company may incur material additional costs or losses in future periods that could have an adverse impact on its financial condition and liquidity. The DOE owns any HALEU produced from the demonstration cascade. Pursuant to an amendment to the Company’s lease for the Piketon facility, the DOE assumed all D&amp;D liabilities arising out of the HALEU Operation Contract.</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Remaining Performance Obligations</w:t>
      </w:r>
    </w:p>
    <w:p>
      <w:pPr>
        <w:spacing w:after="0" w:line="200" w:lineRule="exact"/>
        <w:rPr>
          <w:sz w:val="20"/>
          <w:szCs w:val="20"/>
          <w:color w:val="auto"/>
        </w:rPr>
      </w:pPr>
    </w:p>
    <w:p>
      <w:pPr>
        <w:jc w:val="both"/>
        <w:ind w:right="100" w:firstLine="191"/>
        <w:spacing w:after="0" w:line="254" w:lineRule="auto"/>
        <w:rPr>
          <w:sz w:val="20"/>
          <w:szCs w:val="20"/>
          <w:color w:val="auto"/>
        </w:rPr>
      </w:pPr>
      <w:r>
        <w:rPr>
          <w:rFonts w:ascii="Times New Roman" w:cs="Times New Roman" w:eastAsia="Times New Roman" w:hAnsi="Times New Roman"/>
          <w:sz w:val="16"/>
          <w:szCs w:val="16"/>
          <w:color w:val="auto"/>
        </w:rPr>
        <w:t>The Company’s remaining performance obligations represent the aggregate amount of the total contract transaction price that is unsatisfied or partially unsatisfied. Performance obligations are recognized as revenue in future periods as work is performed or deliveries of SWU and uranium are made. The Company’s total remaining performance obligations were $0.8 billion and $0.6 billion as of March 31, 2026, and December 31, 2025, respectively, and extend to 2030.</w:t>
      </w:r>
    </w:p>
    <w:p>
      <w:pPr>
        <w:spacing w:after="0" w:line="169" w:lineRule="exact"/>
        <w:rPr>
          <w:sz w:val="20"/>
          <w:szCs w:val="20"/>
          <w:color w:val="auto"/>
        </w:rPr>
      </w:pPr>
    </w:p>
    <w:p>
      <w:pPr>
        <w:ind w:firstLine="191"/>
        <w:spacing w:after="0" w:line="287" w:lineRule="auto"/>
        <w:rPr>
          <w:sz w:val="20"/>
          <w:szCs w:val="20"/>
          <w:color w:val="auto"/>
        </w:rPr>
      </w:pPr>
      <w:r>
        <w:rPr>
          <w:rFonts w:ascii="Times New Roman" w:cs="Times New Roman" w:eastAsia="Times New Roman" w:hAnsi="Times New Roman"/>
          <w:sz w:val="14"/>
          <w:szCs w:val="14"/>
          <w:color w:val="auto"/>
        </w:rPr>
        <w:t xml:space="preserve">The remaining performance obligations in the LEU segment, primarily related to medium and long-term contracts with fixed commitments, were approximately $0.7 billion and $0.6 billion as of March 31, 2026 and December 31, 2025, respectively, and extend to 2030. The remaining performance obligations represent the estimated aggregate dollar amount of revenue for future SWU and uranium deliveries and include approximately $112.8 million and $131.1 million of </w:t>
      </w:r>
      <w:r>
        <w:rPr>
          <w:rFonts w:ascii="Times New Roman" w:cs="Times New Roman" w:eastAsia="Times New Roman" w:hAnsi="Times New Roman"/>
          <w:sz w:val="14"/>
          <w:szCs w:val="14"/>
          <w:i w:val="1"/>
          <w:iCs w:val="1"/>
          <w:color w:val="auto"/>
        </w:rPr>
        <w:t>Deferred Revenue and Advances from Customers</w:t>
      </w:r>
      <w:r>
        <w:rPr>
          <w:rFonts w:ascii="Times New Roman" w:cs="Times New Roman" w:eastAsia="Times New Roman" w:hAnsi="Times New Roman"/>
          <w:sz w:val="14"/>
          <w:szCs w:val="14"/>
          <w:color w:val="auto"/>
        </w:rPr>
        <w:t xml:space="preserve"> at March 31, 2026, and December 31, 2025, respectively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D0D0D"/>
        </w:rPr>
        <w:t>T</w:t>
      </w:r>
      <w:r>
        <w:rPr>
          <w:rFonts w:ascii="Times New Roman" w:cs="Times New Roman" w:eastAsia="Times New Roman" w:hAnsi="Times New Roman"/>
          <w:sz w:val="14"/>
          <w:szCs w:val="14"/>
          <w:color w:val="auto"/>
        </w:rPr>
        <w:t xml:space="preserve">he </w:t>
      </w:r>
      <w:r>
        <w:rPr>
          <w:rFonts w:ascii="Times New Roman" w:cs="Times New Roman" w:eastAsia="Times New Roman" w:hAnsi="Times New Roman"/>
          <w:sz w:val="14"/>
          <w:szCs w:val="14"/>
          <w:color w:val="0D0D0D"/>
        </w:rPr>
        <w:t>remaining performance obligations are partially based on customer estimates of the timing and size of the customers’ fuel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D0D0D"/>
        </w:rPr>
        <w:t>requirements and other assumptions that are subject to change. T</w:t>
      </w:r>
      <w:r>
        <w:rPr>
          <w:rFonts w:ascii="Times New Roman" w:cs="Times New Roman" w:eastAsia="Times New Roman" w:hAnsi="Times New Roman"/>
          <w:sz w:val="14"/>
          <w:szCs w:val="14"/>
          <w:color w:val="000000"/>
        </w:rPr>
        <w:t>he</w:t>
      </w:r>
      <w:r>
        <w:rPr>
          <w:rFonts w:ascii="Times New Roman" w:cs="Times New Roman" w:eastAsia="Times New Roman" w:hAnsi="Times New Roman"/>
          <w:sz w:val="14"/>
          <w:szCs w:val="14"/>
          <w:color w:val="0D0D0D"/>
        </w:rPr>
        <w:t xml:space="preserve"> remaining performance obligations include estimates of selling prices, which may be subject to change. Depending on the terms of specific contracts, prices may be adjusted based on escalation using a general inflation index, published SWU price indicators prevailing at the time of delivery, and other factors, all of which are variable. T</w:t>
      </w:r>
      <w:r>
        <w:rPr>
          <w:rFonts w:ascii="Times New Roman" w:cs="Times New Roman" w:eastAsia="Times New Roman" w:hAnsi="Times New Roman"/>
          <w:sz w:val="14"/>
          <w:szCs w:val="14"/>
          <w:color w:val="000000"/>
        </w:rPr>
        <w:t>he Company</w:t>
      </w:r>
      <w:r>
        <w:rPr>
          <w:rFonts w:ascii="Times New Roman" w:cs="Times New Roman" w:eastAsia="Times New Roman" w:hAnsi="Times New Roman"/>
          <w:sz w:val="14"/>
          <w:szCs w:val="14"/>
          <w:color w:val="0D0D0D"/>
        </w:rPr>
        <w:t xml:space="preserve"> uses external composite forecasts of future market prices and inflation rates in its pricing estimates.</w:t>
      </w:r>
    </w:p>
    <w:p>
      <w:pPr>
        <w:spacing w:after="0" w:line="148"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The remaining performance obligations in the Technical Solutions segment were approximately $48.1 million and $79.1 million, as of March 31, 2026, and December 31, 2025, respectively, and extend through 2026. The remaining performance obligations in Technical Solutions include both funded (services for which funding has been both authorized and appropriated by the customer) and unfunded (services for which funding has not been appropriated) amounts. The Company does not include unexercised options or potential services under indefinite-delivery, indefinite-quantity agreements in its remaining performance obligations. If any of the Company’s contracts were to be terminated, its remaining performance obligations would be reduced by the expected value of the cancelled performance obligations of such contracts.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presents the components of accounts receivable (in millions):</w:t>
      </w:r>
    </w:p>
    <w:p>
      <w:pPr>
        <w:spacing w:after="0" w:line="100" w:lineRule="exact"/>
        <w:rPr>
          <w:sz w:val="20"/>
          <w:szCs w:val="20"/>
          <w:color w:val="auto"/>
        </w:rPr>
      </w:pPr>
    </w:p>
    <w:tbl>
      <w:tblPr>
        <w:tblLayout w:type="fixed"/>
        <w:tblInd w:w="1820" w:type="dxa"/>
        <w:tblCellMar>
          <w:top w:w="0" w:type="dxa"/>
          <w:left w:w="0" w:type="dxa"/>
          <w:bottom w:w="0" w:type="dxa"/>
          <w:right w:w="0" w:type="dxa"/>
        </w:tblCellMar>
      </w:tblPr>
      <w:tr>
        <w:trPr>
          <w:trHeight w:val="181"/>
        </w:trPr>
        <w:tc>
          <w:tcPr>
            <w:tcW w:w="424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291"/>
        </w:trPr>
        <w:tc>
          <w:tcPr>
            <w:tcW w:w="4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7"/>
        </w:trPr>
        <w:tc>
          <w:tcPr>
            <w:tcW w:w="4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Billed</w:t>
            </w:r>
          </w:p>
        </w:tc>
        <w:tc>
          <w:tcPr>
            <w:tcW w:w="130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r>
      <w:tr>
        <w:trPr>
          <w:trHeight w:val="177"/>
        </w:trPr>
        <w:tc>
          <w:tcPr>
            <w:tcW w:w="4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Unbilled *</w:t>
            </w:r>
          </w:p>
        </w:tc>
        <w:tc>
          <w:tcPr>
            <w:tcW w:w="1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99"/>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rPr>
              <w:t>Accounts receivable</w:t>
            </w:r>
          </w:p>
        </w:tc>
        <w:tc>
          <w:tcPr>
            <w:tcW w:w="130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41.8</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left="1820" w:right="1540" w:firstLine="8"/>
        <w:spacing w:after="0" w:line="252" w:lineRule="auto"/>
        <w:tabs>
          <w:tab w:leader="none" w:pos="1931"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Billings under certain contracts in the Technical Solutions segment are invoiced based on approved provisional billing rates. Unbilled revenue represents the difference between actual costs incurred and invoiced amounts. The Company expects to invoice and collect the unbilled amounts after actual rates are submitted to and approved by the customer. Unbilled revenue also includes unconditional rights to payment that are not yet billable under applicable contracts due to timing of invoice processing or pending the compilation of supporting documentation.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Liabilities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presents changes in contract liability balances (in millions):</w:t>
      </w:r>
    </w:p>
    <w:p>
      <w:pPr>
        <w:spacing w:after="0" w:line="89"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2"/>
                <w:szCs w:val="12"/>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2"/>
                <w:szCs w:val="12"/>
                <w:color w:val="auto"/>
              </w:rPr>
            </w:pPr>
          </w:p>
        </w:tc>
        <w:tc>
          <w:tcPr>
            <w:tcW w:w="136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9"/>
              </w:rPr>
              <w:t>Year-To-Date Change</w:t>
            </w:r>
          </w:p>
        </w:tc>
        <w:tc>
          <w:tcPr>
            <w:tcW w:w="0" w:type="dxa"/>
            <w:vAlign w:val="bottom"/>
          </w:tcPr>
          <w:p>
            <w:pPr>
              <w:spacing w:after="0"/>
              <w:rPr>
                <w:sz w:val="1"/>
                <w:szCs w:val="1"/>
                <w:color w:val="auto"/>
              </w:rPr>
            </w:pPr>
          </w:p>
        </w:tc>
      </w:tr>
      <w:tr>
        <w:trPr>
          <w:trHeight w:val="179"/>
        </w:trPr>
        <w:tc>
          <w:tcPr>
            <w:tcW w:w="39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9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revenue - current</w:t>
            </w: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16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Previously deferred sales and advances from customers recognized in revenue totaled $18.5 million and $0 in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CASH, CASH EQUIVALENTS AND RESTRICTED CASH</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The following table summarizes the Company’s cash, cash equivalents and restricted cash as presented on the Condensed Consolidated Balance Sheets to amounts on the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Condensed Consolidated Statements of Cash Flows (in millions):</w:t>
      </w:r>
    </w:p>
    <w:p>
      <w:pPr>
        <w:spacing w:after="0" w:line="89"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54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14"/>
        </w:trPr>
        <w:tc>
          <w:tcPr>
            <w:tcW w:w="540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r>
      <w:tr>
        <w:trPr>
          <w:trHeight w:val="177"/>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720" w:type="dxa"/>
            <w:vAlign w:val="bottom"/>
          </w:tcPr>
          <w:p>
            <w:pPr>
              <w:jc w:val="right"/>
              <w:ind w:right="157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1,868.2</w:t>
            </w:r>
          </w:p>
        </w:tc>
        <w:tc>
          <w:tcPr>
            <w:tcW w:w="220" w:type="dxa"/>
            <w:vAlign w:val="bottom"/>
          </w:tcPr>
          <w:p>
            <w:pPr>
              <w:spacing w:after="0"/>
              <w:rPr>
                <w:sz w:val="15"/>
                <w:szCs w:val="15"/>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1,957.2</w:t>
            </w:r>
          </w:p>
        </w:tc>
      </w:tr>
      <w:tr>
        <w:trPr>
          <w:trHeight w:val="184"/>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Deposits for financial assurance - current (a)</w:t>
            </w:r>
          </w:p>
        </w:tc>
        <w:tc>
          <w:tcPr>
            <w:tcW w:w="17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77"/>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Deposits for financial assurance - noncurrent</w:t>
            </w:r>
          </w:p>
        </w:tc>
        <w:tc>
          <w:tcPr>
            <w:tcW w:w="17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98"/>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cash, cash equivalents and restricted cash</w:t>
            </w:r>
          </w:p>
        </w:tc>
        <w:tc>
          <w:tcPr>
            <w:tcW w:w="1720" w:type="dxa"/>
            <w:vAlign w:val="bottom"/>
            <w:tcBorders>
              <w:bottom w:val="single" w:sz="8" w:color="auto"/>
            </w:tcBorders>
            <w:shd w:val="clear" w:color="auto" w:fill="CCEEFF"/>
          </w:tcPr>
          <w:p>
            <w:pPr>
              <w:jc w:val="right"/>
              <w:ind w:right="15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1,901.2</w:t>
            </w:r>
          </w:p>
        </w:tc>
        <w:tc>
          <w:tcPr>
            <w:tcW w:w="2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1,960.1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700" w:hanging="186"/>
        <w:spacing w:after="0"/>
        <w:tabs>
          <w:tab w:leader="none" w:pos="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Deposits for financial assurance - current is included within </w:t>
      </w:r>
      <w:r>
        <w:rPr>
          <w:rFonts w:ascii="Times New Roman" w:cs="Times New Roman" w:eastAsia="Times New Roman" w:hAnsi="Times New Roman"/>
          <w:sz w:val="14"/>
          <w:szCs w:val="14"/>
          <w:i w:val="1"/>
          <w:iCs w:val="1"/>
          <w:color w:val="auto"/>
        </w:rPr>
        <w:t>Other Current Assets</w:t>
      </w:r>
      <w:r>
        <w:rPr>
          <w:rFonts w:ascii="Times New Roman" w:cs="Times New Roman" w:eastAsia="Times New Roman" w:hAnsi="Times New Roman"/>
          <w:sz w:val="14"/>
          <w:szCs w:val="14"/>
          <w:color w:val="auto"/>
        </w:rPr>
        <w:t xml:space="preserve"> in the Condensed Consolidated Balance Sheets.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68"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755" w:right="599" w:bottom="1440" w:gutter="0" w:footer="0" w:header="0"/>
        </w:sectPr>
      </w:pPr>
    </w:p>
    <w:bookmarkStart w:id="16" w:name="page17"/>
    <w:bookmarkEnd w:id="16"/>
    <w:p>
      <w:pPr>
        <w:ind w:right="380" w:firstLine="191"/>
        <w:spacing w:after="0" w:line="273" w:lineRule="auto"/>
        <w:rPr>
          <w:sz w:val="20"/>
          <w:szCs w:val="20"/>
          <w:color w:val="auto"/>
        </w:rPr>
      </w:pPr>
      <w:r>
        <w:rPr>
          <w:rFonts w:ascii="Times New Roman" w:cs="Times New Roman" w:eastAsia="Times New Roman" w:hAnsi="Times New Roman"/>
          <w:sz w:val="16"/>
          <w:szCs w:val="16"/>
          <w:color w:val="auto"/>
        </w:rPr>
        <w:t>The Company has $0.1 million denominated in euros as of both March 31, 2026 and December 31, 2025 and recorded $0.3 million in transaction losses in the three months ended March 31, 2026 and $0.1 million in transaction losses in the three months ended March 31, 2025.</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provides additional detail regarding the Company’s deposits for financial assurance (in millions):</w:t>
      </w:r>
    </w:p>
    <w:p>
      <w:pPr>
        <w:spacing w:after="0" w:line="3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3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71"/>
        </w:trPr>
        <w:tc>
          <w:tcPr>
            <w:tcW w:w="48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00" w:type="dxa"/>
            <w:vAlign w:val="bottom"/>
          </w:tcPr>
          <w:p>
            <w:pPr>
              <w:spacing w:after="0"/>
              <w:rPr>
                <w:sz w:val="14"/>
                <w:szCs w:val="14"/>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Long-Term</w:t>
            </w:r>
          </w:p>
        </w:tc>
      </w:tr>
      <w:tr>
        <w:trPr>
          <w:trHeight w:val="180"/>
        </w:trPr>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Escrow</w:t>
            </w: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83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20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Workers Compensation</w:t>
            </w:r>
          </w:p>
        </w:tc>
        <w:tc>
          <w:tcPr>
            <w:tcW w:w="9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7"/>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98"/>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deposits for financial assurance</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32.8</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160" w:firstLine="191"/>
        <w:spacing w:after="0"/>
        <w:rPr>
          <w:sz w:val="20"/>
          <w:szCs w:val="20"/>
          <w:color w:val="auto"/>
        </w:rPr>
      </w:pPr>
      <w:r>
        <w:rPr>
          <w:rFonts w:ascii="Times New Roman" w:cs="Times New Roman" w:eastAsia="Times New Roman" w:hAnsi="Times New Roman"/>
          <w:sz w:val="16"/>
          <w:szCs w:val="16"/>
          <w:color w:val="auto"/>
        </w:rPr>
        <w:t>The Company occasionally deposits cash into escrow accounts for financial assurance according to sales contracts and other contracts. In February 2026, the Company entered into an engineering, procurement and construction (“EPC”) contract with Fluor Federal Services, Inc. (“Fluor”), a third-party contractor, for the commercial expansion and deployment of LEU and HALEU production capability at the American Centrifuge Plant (“ACP”) in Piketon, Ohio.</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Company has provided financial assurance to states in which it was previously self-insured for workers’ compensation in accordance with each state’s requirements in the</w:t>
      </w:r>
    </w:p>
    <w:p>
      <w:pPr>
        <w:spacing w:after="0" w:line="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form of a surety bond or deposit that is fully cash collateralized by the Company. Each surety bond or deposit is subject to reduction and/or cancellation, as each state determines the likely reduction of workers’ compensation obligations pertaining to the period of self-insurance.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INVENTORIES</w:t>
      </w:r>
    </w:p>
    <w:p>
      <w:pPr>
        <w:spacing w:after="0" w:line="200" w:lineRule="exact"/>
        <w:rPr>
          <w:sz w:val="20"/>
          <w:szCs w:val="20"/>
          <w:color w:val="auto"/>
        </w:rPr>
      </w:pPr>
    </w:p>
    <w:p>
      <w:pPr>
        <w:ind w:right="80" w:firstLine="191"/>
        <w:spacing w:after="0" w:line="252" w:lineRule="auto"/>
        <w:rPr>
          <w:sz w:val="20"/>
          <w:szCs w:val="20"/>
          <w:color w:val="auto"/>
        </w:rPr>
      </w:pPr>
      <w:r>
        <w:rPr>
          <w:rFonts w:ascii="Times New Roman" w:cs="Times New Roman" w:eastAsia="Times New Roman" w:hAnsi="Times New Roman"/>
          <w:sz w:val="16"/>
          <w:szCs w:val="16"/>
          <w:color w:val="auto"/>
        </w:rPr>
        <w:t>Centrus holds uranium at licensed locations (e.g., fabricators) in the form of natural uranium hexafluoride and as the uranium component of LEU in transit to meet book transfer requests by customers and suppliers. Centrus also holds SWU as the SWU component of LEU at licensed locations or in transit to meet book transfer requests by customers and suppliers. Fabricators process LEU into fuel for use in nuclear reactors. Inventories are valued at the lower of cost or net realizable value. The components of the Company’s inventories are as follows (in millions):</w:t>
      </w:r>
    </w:p>
    <w:p>
      <w:pPr>
        <w:spacing w:after="0" w:line="265"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80" w:type="dxa"/>
            <w:vAlign w:val="bottom"/>
          </w:tcPr>
          <w:p>
            <w:pPr>
              <w:spacing w:after="0"/>
              <w:rPr>
                <w:sz w:val="10"/>
                <w:szCs w:val="10"/>
                <w:color w:val="auto"/>
              </w:rPr>
            </w:pPr>
          </w:p>
        </w:tc>
        <w:tc>
          <w:tcPr>
            <w:tcW w:w="11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1"/>
                <w:szCs w:val="11"/>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Inventories, Net</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1"/>
                <w:szCs w:val="11"/>
                <w:color w:val="auto"/>
              </w:rPr>
            </w:pPr>
          </w:p>
        </w:tc>
        <w:tc>
          <w:tcPr>
            <w:tcW w:w="112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Inventories, Net</w:t>
            </w:r>
          </w:p>
        </w:tc>
        <w:tc>
          <w:tcPr>
            <w:tcW w:w="0" w:type="dxa"/>
            <w:vAlign w:val="bottom"/>
          </w:tcPr>
          <w:p>
            <w:pPr>
              <w:spacing w:after="0"/>
              <w:rPr>
                <w:sz w:val="1"/>
                <w:szCs w:val="1"/>
                <w:color w:val="auto"/>
              </w:rPr>
            </w:pPr>
          </w:p>
        </w:tc>
      </w:tr>
      <w:tr>
        <w:trPr>
          <w:trHeight w:val="179"/>
        </w:trPr>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Separative work units</w:t>
            </w: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77"/>
        </w:trPr>
        <w:tc>
          <w:tcPr>
            <w:tcW w:w="2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Uranium</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126.9</w:t>
            </w:r>
          </w:p>
        </w:tc>
        <w:tc>
          <w:tcPr>
            <w:tcW w:w="0" w:type="dxa"/>
            <w:vAlign w:val="bottom"/>
          </w:tcPr>
          <w:p>
            <w:pPr>
              <w:spacing w:after="0"/>
              <w:rPr>
                <w:sz w:val="1"/>
                <w:szCs w:val="1"/>
                <w:color w:val="auto"/>
              </w:rPr>
            </w:pPr>
          </w:p>
        </w:tc>
      </w:tr>
      <w:tr>
        <w:trPr>
          <w:trHeight w:val="199"/>
        </w:trPr>
        <w:tc>
          <w:tcPr>
            <w:tcW w:w="2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336.0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165.2</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322.9</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192.7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130.2</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This includes inventories owed to suppliers for advances of uranium.</w:t>
      </w:r>
    </w:p>
    <w:p>
      <w:pPr>
        <w:spacing w:after="0" w:line="281" w:lineRule="exact"/>
        <w:rPr>
          <w:sz w:val="20"/>
          <w:szCs w:val="20"/>
          <w:color w:val="auto"/>
        </w:rPr>
      </w:pPr>
    </w:p>
    <w:p>
      <w:pPr>
        <w:ind w:right="160" w:firstLine="191"/>
        <w:spacing w:after="0" w:line="259" w:lineRule="auto"/>
        <w:rPr>
          <w:sz w:val="20"/>
          <w:szCs w:val="20"/>
          <w:color w:val="auto"/>
        </w:rPr>
      </w:pPr>
      <w:r>
        <w:rPr>
          <w:rFonts w:ascii="Times New Roman" w:cs="Times New Roman" w:eastAsia="Times New Roman" w:hAnsi="Times New Roman"/>
          <w:sz w:val="16"/>
          <w:szCs w:val="16"/>
          <w:color w:val="auto"/>
        </w:rPr>
        <w:t>The Company may borrow SWU or uranium from customers, suppliers or fabricators, in which case the Company will record the SWU and/or uranium and the related liability for the borrowing using the projected and forecasted purchase price over the borrowing period.</w:t>
      </w:r>
    </w:p>
    <w:p>
      <w:pPr>
        <w:spacing w:after="0" w:line="165"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In the three months ended March 31, 2025, the Company repaid SWU inventory loans borrowed from a customer valued at $26.5 million, by utilizing advances of SWU from the fabricator under an existing optimization agreement. In the three months ended March 31, 2026, the Company repaid $35.8 million of advances of SWU owed to the fabricator related to these SWU inventory loans.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7" w:name="page18"/>
    <w:bookmarkEnd w:id="17"/>
    <w:p>
      <w:pPr>
        <w:ind w:firstLine="191"/>
        <w:spacing w:after="0" w:line="255" w:lineRule="auto"/>
        <w:rPr>
          <w:sz w:val="20"/>
          <w:szCs w:val="20"/>
          <w:color w:val="auto"/>
        </w:rPr>
      </w:pPr>
      <w:r>
        <w:rPr>
          <w:rFonts w:ascii="Times New Roman" w:cs="Times New Roman" w:eastAsia="Times New Roman" w:hAnsi="Times New Roman"/>
          <w:sz w:val="16"/>
          <w:szCs w:val="16"/>
          <w:color w:val="auto"/>
        </w:rPr>
        <w:t xml:space="preserve">The Company performs quarterly revaluations of </w:t>
      </w:r>
      <w:r>
        <w:rPr>
          <w:rFonts w:ascii="Times New Roman" w:cs="Times New Roman" w:eastAsia="Times New Roman" w:hAnsi="Times New Roman"/>
          <w:sz w:val="16"/>
          <w:szCs w:val="16"/>
          <w:i w:val="1"/>
          <w:iCs w:val="1"/>
          <w:color w:val="auto"/>
        </w:rPr>
        <w:t>Long-Term Inventory Loans</w:t>
      </w:r>
      <w:r>
        <w:rPr>
          <w:rFonts w:ascii="Times New Roman" w:cs="Times New Roman" w:eastAsia="Times New Roman" w:hAnsi="Times New Roman"/>
          <w:sz w:val="16"/>
          <w:szCs w:val="16"/>
          <w:color w:val="auto"/>
        </w:rPr>
        <w:t xml:space="preserve"> reflecting an updated projection of the timing and sources of inventory to be used for repayment. These revaluations were recorded to </w:t>
      </w:r>
      <w:r>
        <w:rPr>
          <w:rFonts w:ascii="Times New Roman" w:cs="Times New Roman" w:eastAsia="Times New Roman" w:hAnsi="Times New Roman"/>
          <w:sz w:val="16"/>
          <w:szCs w:val="16"/>
          <w:i w:val="1"/>
          <w:iCs w:val="1"/>
          <w:color w:val="auto"/>
        </w:rPr>
        <w:t>Cost of Sales</w:t>
      </w:r>
      <w:r>
        <w:rPr>
          <w:rFonts w:ascii="Times New Roman" w:cs="Times New Roman" w:eastAsia="Times New Roman" w:hAnsi="Times New Roman"/>
          <w:sz w:val="16"/>
          <w:szCs w:val="16"/>
          <w:color w:val="auto"/>
        </w:rPr>
        <w:t xml:space="preserve"> and resulted in a decrease to the related liability of $0.6 million and an increase to the related liability of $2.1 million, for the three months ended March 31, 2026 and 2025, respectively.</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INTANGIBLE ASSETS</w:t>
      </w:r>
    </w:p>
    <w:p>
      <w:pPr>
        <w:spacing w:after="0" w:line="189" w:lineRule="exact"/>
        <w:rPr>
          <w:sz w:val="20"/>
          <w:szCs w:val="20"/>
          <w:color w:val="auto"/>
        </w:rPr>
      </w:pPr>
    </w:p>
    <w:p>
      <w:pPr>
        <w:jc w:val="both"/>
        <w:ind w:right="80" w:firstLine="191"/>
        <w:spacing w:after="0" w:line="252" w:lineRule="auto"/>
        <w:rPr>
          <w:sz w:val="20"/>
          <w:szCs w:val="20"/>
          <w:color w:val="auto"/>
        </w:rPr>
      </w:pPr>
      <w:r>
        <w:rPr>
          <w:rFonts w:ascii="Times New Roman" w:cs="Times New Roman" w:eastAsia="Times New Roman" w:hAnsi="Times New Roman"/>
          <w:sz w:val="16"/>
          <w:szCs w:val="16"/>
          <w:color w:val="auto"/>
        </w:rPr>
        <w:t>Intangible assets originated from the Company’s reorganization and application of fresh start accounting as of the date the Company emerged from bankruptcy, September 30, 2014. The intangible asset related to the LEU segment backlog is amortized as the backlog, existing at emergence, is reduced, as a result of deliveries to customers. The intangible asset related to customer relationships is amortized using the straight-line method over the estimated average useful life of 15 years. Amortization expense is presented below gross profit on the Condensed Consolidated Statements of Operations and Comprehensive Income. Intangible asset balances are as follows (in millions):</w:t>
      </w:r>
    </w:p>
    <w:p>
      <w:pPr>
        <w:spacing w:after="0" w:line="74"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120" w:type="dxa"/>
            <w:vAlign w:val="bottom"/>
          </w:tcPr>
          <w:p>
            <w:pPr>
              <w:spacing w:after="0"/>
              <w:rPr>
                <w:sz w:val="10"/>
                <w:szCs w:val="10"/>
                <w:color w:val="auto"/>
              </w:rPr>
            </w:pPr>
          </w:p>
        </w:tc>
        <w:tc>
          <w:tcPr>
            <w:tcW w:w="120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06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79"/>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Backlog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7"/>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21.2</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DEBT</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principal amounts of our long-term debt consists of the following (in millions):</w:t>
      </w:r>
    </w:p>
    <w:p>
      <w:pPr>
        <w:spacing w:after="0" w:line="100"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4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80" w:type="dxa"/>
            <w:vAlign w:val="bottom"/>
          </w:tcPr>
          <w:p>
            <w:pPr>
              <w:spacing w:after="0"/>
              <w:rPr>
                <w:sz w:val="16"/>
                <w:szCs w:val="16"/>
                <w:color w:val="auto"/>
              </w:rPr>
            </w:pPr>
          </w:p>
        </w:tc>
      </w:tr>
      <w:tr>
        <w:trPr>
          <w:trHeight w:val="171"/>
        </w:trPr>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673"/>
              <w:spacing w:after="0"/>
              <w:rPr>
                <w:sz w:val="20"/>
                <w:szCs w:val="20"/>
                <w:color w:val="auto"/>
              </w:rPr>
            </w:pPr>
            <w:r>
              <w:rPr>
                <w:rFonts w:ascii="Times New Roman" w:cs="Times New Roman" w:eastAsia="Times New Roman" w:hAnsi="Times New Roman"/>
                <w:sz w:val="13"/>
                <w:szCs w:val="13"/>
                <w:color w:val="auto"/>
              </w:rPr>
              <w:t>2.25%</w:t>
            </w:r>
          </w:p>
        </w:tc>
        <w:tc>
          <w:tcPr>
            <w:tcW w:w="140" w:type="dxa"/>
            <w:vAlign w:val="bottom"/>
          </w:tcPr>
          <w:p>
            <w:pPr>
              <w:spacing w:after="0"/>
              <w:rPr>
                <w:sz w:val="14"/>
                <w:szCs w:val="14"/>
                <w:color w:val="auto"/>
              </w:rPr>
            </w:pPr>
          </w:p>
        </w:tc>
        <w:tc>
          <w:tcPr>
            <w:tcW w:w="1240" w:type="dxa"/>
            <w:vAlign w:val="bottom"/>
            <w:tcBorders>
              <w:top w:val="single" w:sz="8" w:color="auto"/>
            </w:tcBorders>
          </w:tcPr>
          <w:p>
            <w:pPr>
              <w:jc w:val="right"/>
              <w:ind w:right="1093"/>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402.5</w:t>
            </w:r>
          </w:p>
        </w:tc>
        <w:tc>
          <w:tcPr>
            <w:tcW w:w="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402.5</w:t>
            </w:r>
          </w:p>
        </w:tc>
        <w:tc>
          <w:tcPr>
            <w:tcW w:w="480" w:type="dxa"/>
            <w:vAlign w:val="bottom"/>
          </w:tcPr>
          <w:p>
            <w:pPr>
              <w:spacing w:after="0"/>
              <w:rPr>
                <w:sz w:val="14"/>
                <w:szCs w:val="14"/>
                <w:color w:val="auto"/>
              </w:rPr>
            </w:pPr>
          </w:p>
        </w:tc>
      </w:tr>
      <w:tr>
        <w:trPr>
          <w:trHeight w:val="187"/>
        </w:trPr>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805.0</w:t>
            </w: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805.0</w:t>
            </w:r>
          </w:p>
        </w:tc>
        <w:tc>
          <w:tcPr>
            <w:tcW w:w="480" w:type="dxa"/>
            <w:vAlign w:val="bottom"/>
          </w:tcPr>
          <w:p>
            <w:pPr>
              <w:spacing w:after="0"/>
              <w:rPr>
                <w:sz w:val="16"/>
                <w:szCs w:val="16"/>
                <w:color w:val="auto"/>
              </w:rPr>
            </w:pPr>
          </w:p>
        </w:tc>
      </w:tr>
      <w:tr>
        <w:trPr>
          <w:trHeight w:val="170"/>
        </w:trPr>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1,207.5</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1,207.5</w:t>
            </w:r>
          </w:p>
        </w:tc>
        <w:tc>
          <w:tcPr>
            <w:tcW w:w="480" w:type="dxa"/>
            <w:vAlign w:val="bottom"/>
          </w:tcPr>
          <w:p>
            <w:pPr>
              <w:spacing w:after="0"/>
              <w:rPr>
                <w:sz w:val="14"/>
                <w:szCs w:val="14"/>
                <w:color w:val="auto"/>
              </w:rPr>
            </w:pPr>
          </w:p>
        </w:tc>
      </w:tr>
      <w:tr>
        <w:trPr>
          <w:trHeight w:val="441"/>
        </w:trPr>
        <w:tc>
          <w:tcPr>
            <w:tcW w:w="6960" w:type="dxa"/>
            <w:vAlign w:val="bottom"/>
            <w:gridSpan w:val="9"/>
          </w:tcPr>
          <w:p>
            <w:pPr>
              <w:jc w:val="right"/>
              <w:ind w:right="813"/>
              <w:spacing w:after="0"/>
              <w:rPr>
                <w:sz w:val="20"/>
                <w:szCs w:val="20"/>
                <w:color w:val="auto"/>
              </w:rPr>
            </w:pPr>
            <w:r>
              <w:rPr>
                <w:rFonts w:ascii="Times New Roman" w:cs="Times New Roman" w:eastAsia="Times New Roman" w:hAnsi="Times New Roman"/>
                <w:sz w:val="16"/>
                <w:szCs w:val="16"/>
                <w:color w:val="auto"/>
                <w:w w:val="96"/>
              </w:rPr>
              <w:t>A summary of interest expense and amortization of debt issuance costs is as follows (in millions):</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57"/>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r>
      <w:tr>
        <w:trPr>
          <w:trHeight w:val="176"/>
        </w:trPr>
        <w:tc>
          <w:tcPr>
            <w:tcW w:w="1100" w:type="dxa"/>
            <w:vAlign w:val="bottom"/>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5"/>
                <w:szCs w:val="15"/>
                <w:color w:val="auto"/>
              </w:rPr>
            </w:pPr>
          </w:p>
        </w:tc>
      </w:tr>
      <w:tr>
        <w:trPr>
          <w:trHeight w:val="172"/>
        </w:trPr>
        <w:tc>
          <w:tcPr>
            <w:tcW w:w="1100" w:type="dxa"/>
            <w:vAlign w:val="bottom"/>
          </w:tcPr>
          <w:p>
            <w:pPr>
              <w:spacing w:after="0"/>
              <w:rPr>
                <w:sz w:val="14"/>
                <w:szCs w:val="14"/>
                <w:color w:val="auto"/>
              </w:rPr>
            </w:pPr>
          </w:p>
        </w:tc>
        <w:tc>
          <w:tcPr>
            <w:tcW w:w="2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Contractual interest expense</w:t>
            </w: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7"/>
        </w:trPr>
        <w:tc>
          <w:tcPr>
            <w:tcW w:w="1100" w:type="dxa"/>
            <w:vAlign w:val="bottom"/>
          </w:tcPr>
          <w:p>
            <w:pPr>
              <w:spacing w:after="0"/>
              <w:rPr>
                <w:sz w:val="15"/>
                <w:szCs w:val="15"/>
                <w:color w:val="auto"/>
              </w:rPr>
            </w:pPr>
          </w:p>
        </w:tc>
        <w:tc>
          <w:tcPr>
            <w:tcW w:w="28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3"/>
                <w:szCs w:val="13"/>
                <w:color w:val="auto"/>
              </w:rPr>
              <w:t>Amortization of debt issuance costs and discount</w:t>
            </w:r>
          </w:p>
        </w:tc>
        <w:tc>
          <w:tcPr>
            <w:tcW w:w="14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99"/>
        </w:trPr>
        <w:tc>
          <w:tcPr>
            <w:tcW w:w="1100" w:type="dxa"/>
            <w:vAlign w:val="bottom"/>
          </w:tcPr>
          <w:p>
            <w:pPr>
              <w:spacing w:after="0"/>
              <w:rPr>
                <w:sz w:val="16"/>
                <w:szCs w:val="16"/>
                <w:color w:val="auto"/>
              </w:rPr>
            </w:pPr>
          </w:p>
        </w:tc>
        <w:tc>
          <w:tcPr>
            <w:tcW w:w="282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interest expense on debt</w:t>
            </w:r>
          </w:p>
        </w:tc>
        <w:tc>
          <w:tcPr>
            <w:tcW w:w="14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w:t>
            </w:r>
          </w:p>
        </w:tc>
      </w:tr>
      <w:tr>
        <w:trPr>
          <w:trHeight w:val="20"/>
        </w:trPr>
        <w:tc>
          <w:tcPr>
            <w:tcW w:w="1100" w:type="dxa"/>
            <w:vAlign w:val="bottom"/>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4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Convertible Notes</w:t>
      </w:r>
    </w:p>
    <w:p>
      <w:pPr>
        <w:spacing w:after="0" w:line="200" w:lineRule="exact"/>
        <w:rPr>
          <w:sz w:val="20"/>
          <w:szCs w:val="20"/>
          <w:color w:val="auto"/>
        </w:rPr>
      </w:pPr>
    </w:p>
    <w:p>
      <w:pPr>
        <w:jc w:val="both"/>
        <w:ind w:firstLine="191"/>
        <w:spacing w:after="0" w:line="247" w:lineRule="auto"/>
        <w:rPr>
          <w:sz w:val="20"/>
          <w:szCs w:val="20"/>
          <w:color w:val="auto"/>
        </w:rPr>
      </w:pPr>
      <w:r>
        <w:rPr>
          <w:rFonts w:ascii="Times New Roman" w:cs="Times New Roman" w:eastAsia="Times New Roman" w:hAnsi="Times New Roman"/>
          <w:sz w:val="16"/>
          <w:szCs w:val="16"/>
          <w:color w:val="auto"/>
        </w:rPr>
        <w:t>In November 2024, the Company issued $402.5 million of 2.25% Convertible Notes due 2030 and in August 2025, the Company issued $805.0 million of 0% Convertible Notes due 2032. There are no required principal payments prior to the maturity of the 2.25% Convertible Notes or the 0% Convertible Notes. The 2.25% Convertible Notes bear interest at an annual rate of 2.25%, payable semi-annually in arrears on May 1 and November 1 of each year. The 0% Convertible Notes will not bear regular interest and the principal amount will not accrete.</w:t>
      </w:r>
    </w:p>
    <w:p>
      <w:pPr>
        <w:spacing w:after="0" w:line="176"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For calendar quarters in which the Convertible Notes became convertible at the option of the holders, the Company provided notice to the holders of the Convertible Notes that the notes became convertible beginning on the first day of the respective subsequent quarter, and ending at the close of business on the last day of said quarter. As of April 30, 2026, no notes were converted during those periods. Additional terms and conditions of the 2.25% Convertible Notes and 0% Convertible Notes are described in Note 8, Debt, of the Consolidated Financial Statements in the Company’s Annual Report on Form 10-K for the year ended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8.25% Notes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Pursuant to a notice of redemption issued on February 24, 2025, on March 26, 2025, the Company redeemed all 8.25% Notes at a redemption price equal to 100% of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$74.3 million aggregate principal amount, together with any accrued and unpaid interest. The Company recorded a gain of $11.8 million related to the extinguishment of the long-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 debt. As of both December 31, 2025 and March 31, 2026, none of the 8.25%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color w:val="auto"/>
        </w:rPr>
        <w:t>7. FAIR VALUE</w:t>
      </w:r>
    </w:p>
    <w:p>
      <w:pPr>
        <w:spacing w:after="0" w:line="200" w:lineRule="exact"/>
        <w:rPr>
          <w:sz w:val="20"/>
          <w:szCs w:val="20"/>
          <w:color w:val="auto"/>
        </w:rPr>
      </w:pPr>
    </w:p>
    <w:p>
      <w:pPr>
        <w:ind w:right="120" w:firstLine="191"/>
        <w:spacing w:after="0" w:line="254" w:lineRule="auto"/>
        <w:rPr>
          <w:sz w:val="20"/>
          <w:szCs w:val="20"/>
          <w:color w:val="auto"/>
        </w:rPr>
      </w:pPr>
      <w:r>
        <w:rPr>
          <w:rFonts w:ascii="Times New Roman" w:cs="Times New Roman" w:eastAsia="Times New Roman" w:hAnsi="Times New Roman"/>
          <w:sz w:val="16"/>
          <w:szCs w:val="16"/>
          <w:color w:val="auto"/>
        </w:rPr>
        <w:t>Fair value is the price that would be received from selling an asset or paid to transfer a liability in an orderly transaction between market participants at the measurement date. When determining the fair value of assets and liabilities, the following hierarchy is used in selecting inputs, with the highest priority given to Level 1, as these are the most transparent or reliable:</w:t>
      </w:r>
    </w:p>
    <w:p>
      <w:pPr>
        <w:spacing w:after="0" w:line="52" w:lineRule="exact"/>
        <w:rPr>
          <w:sz w:val="20"/>
          <w:szCs w:val="20"/>
          <w:color w:val="auto"/>
        </w:rPr>
      </w:pPr>
    </w:p>
    <w:p>
      <w:pPr>
        <w:ind w:left="560" w:hanging="173"/>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assets include investments with quoted prices in active markets that the Company has the ability to liquidate as of the reporting date.</w:t>
      </w:r>
    </w:p>
    <w:p>
      <w:pPr>
        <w:spacing w:after="0" w:line="49" w:lineRule="exact"/>
        <w:rPr>
          <w:rFonts w:ascii="Times New Roman" w:cs="Times New Roman" w:eastAsia="Times New Roman" w:hAnsi="Times New Roman"/>
          <w:sz w:val="16"/>
          <w:szCs w:val="16"/>
          <w:color w:val="auto"/>
        </w:rPr>
      </w:pPr>
    </w:p>
    <w:p>
      <w:pPr>
        <w:ind w:left="580" w:hanging="193"/>
        <w:spacing w:after="0" w:line="268" w:lineRule="auto"/>
        <w:tabs>
          <w:tab w:leader="none" w:pos="57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assets include investments in U.S. government agency securities, corporate and municipal debt whose estimates are valued based on observable inputs, other than quoted prices.</w:t>
      </w:r>
    </w:p>
    <w:p>
      <w:pPr>
        <w:spacing w:after="0" w:line="2" w:lineRule="exact"/>
        <w:rPr>
          <w:rFonts w:ascii="Times New Roman" w:cs="Times New Roman" w:eastAsia="Times New Roman" w:hAnsi="Times New Roman"/>
          <w:sz w:val="16"/>
          <w:szCs w:val="16"/>
          <w:color w:val="auto"/>
        </w:rPr>
      </w:pPr>
    </w:p>
    <w:p>
      <w:pPr>
        <w:ind w:left="560" w:hanging="173"/>
        <w:spacing w:after="0"/>
        <w:tabs>
          <w:tab w:leader="none" w:pos="56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3 assets include investments with unobservable inputs, such as third-party valuations, due to little or no market activity.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Recorded at Fair Value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76"/>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r>
      <w:tr>
        <w:trPr>
          <w:trHeight w:val="179"/>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1,868.2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1,868.2</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1,957.2</w:t>
            </w:r>
          </w:p>
        </w:tc>
      </w:tr>
      <w:tr>
        <w:trPr>
          <w:trHeight w:val="182"/>
        </w:trPr>
        <w:tc>
          <w:tcPr>
            <w:tcW w:w="33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3"/>
                <w:szCs w:val="13"/>
                <w:color w:val="auto"/>
              </w:rPr>
              <w:t xml:space="preserve">Deferred compensation asset </w:t>
            </w:r>
            <w:r>
              <w:rPr>
                <w:rFonts w:ascii="Times New Roman" w:cs="Times New Roman" w:eastAsia="Times New Roman" w:hAnsi="Times New Roman"/>
                <w:sz w:val="17"/>
                <w:szCs w:val="17"/>
                <w:color w:val="auto"/>
                <w:vertAlign w:val="superscript"/>
              </w:rPr>
              <w:t>(a)</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0.5</w:t>
            </w:r>
          </w:p>
        </w:tc>
      </w:tr>
      <w:tr>
        <w:trPr>
          <w:trHeight w:val="127"/>
        </w:trPr>
        <w:tc>
          <w:tcPr>
            <w:tcW w:w="3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Deferred compensation obligation </w:t>
            </w:r>
            <w:r>
              <w:rPr>
                <w:rFonts w:ascii="Times New Roman" w:cs="Times New Roman" w:eastAsia="Times New Roman" w:hAnsi="Times New Roman"/>
                <w:sz w:val="17"/>
                <w:szCs w:val="17"/>
                <w:color w:val="auto"/>
                <w:vertAlign w:val="superscript"/>
              </w:rPr>
              <w:t>(a)</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0.5</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0.5</w:t>
            </w:r>
          </w:p>
        </w:tc>
      </w:tr>
    </w:tbl>
    <w:p>
      <w:pPr>
        <w:spacing w:after="0" w:line="179" w:lineRule="exact"/>
        <w:rPr>
          <w:sz w:val="20"/>
          <w:szCs w:val="20"/>
          <w:color w:val="auto"/>
        </w:rPr>
      </w:pPr>
    </w:p>
    <w:p>
      <w:pPr>
        <w:ind w:left="640" w:right="580" w:hanging="253"/>
        <w:spacing w:after="0" w:line="230" w:lineRule="auto"/>
        <w:tabs>
          <w:tab w:leader="none" w:pos="626"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deferred compensation obligation represents the balance of deferred compensation plus net investment earnings. The deferred compensation plan is funded through a rabbi trust. Trust funds are invested in mutual funds for which unit prices are quoted in active markets and are classified within Level 1 of the valuation hierarchy.</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were no transfers between Level 1, 2 or 3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755" w:right="459" w:bottom="1440" w:gutter="0" w:footer="0" w:header="0"/>
        </w:sectPr>
      </w:pPr>
    </w:p>
    <w:bookmarkStart w:id="20" w:name="page21"/>
    <w:bookmarkEnd w:id="20"/>
    <w:p>
      <w:pPr>
        <w:ind w:left="200"/>
        <w:spacing w:after="0"/>
        <w:rPr>
          <w:sz w:val="20"/>
          <w:szCs w:val="20"/>
          <w:color w:val="auto"/>
        </w:rPr>
      </w:pPr>
      <w:r>
        <w:rPr>
          <w:rFonts w:ascii="Times New Roman" w:cs="Times New Roman" w:eastAsia="Times New Roman" w:hAnsi="Times New Roman"/>
          <w:sz w:val="16"/>
          <w:szCs w:val="16"/>
          <w:i w:val="1"/>
          <w:iCs w:val="1"/>
          <w:color w:val="auto"/>
        </w:rPr>
        <w:t>Other Financial Instruments</w:t>
      </w:r>
    </w:p>
    <w:p>
      <w:pPr>
        <w:spacing w:after="0" w:line="198" w:lineRule="exact"/>
        <w:rPr>
          <w:sz w:val="20"/>
          <w:szCs w:val="20"/>
          <w:color w:val="auto"/>
        </w:rPr>
      </w:pPr>
    </w:p>
    <w:p>
      <w:pPr>
        <w:ind w:firstLine="191"/>
        <w:spacing w:after="0" w:line="255" w:lineRule="auto"/>
        <w:rPr>
          <w:sz w:val="20"/>
          <w:szCs w:val="20"/>
          <w:color w:val="auto"/>
        </w:rPr>
      </w:pPr>
      <w:r>
        <w:rPr>
          <w:rFonts w:ascii="Times New Roman" w:cs="Times New Roman" w:eastAsia="Times New Roman" w:hAnsi="Times New Roman"/>
          <w:sz w:val="16"/>
          <w:szCs w:val="16"/>
          <w:color w:val="auto"/>
        </w:rPr>
        <w:t xml:space="preserve">As of March 31, 2026, and December 31, 2025, the Condensed Consolidated Balance Sheets carrying amounts for </w:t>
      </w:r>
      <w:r>
        <w:rPr>
          <w:rFonts w:ascii="Times New Roman" w:cs="Times New Roman" w:eastAsia="Times New Roman" w:hAnsi="Times New Roman"/>
          <w:sz w:val="16"/>
          <w:szCs w:val="16"/>
          <w:i w:val="1"/>
          <w:iCs w:val="1"/>
          <w:color w:val="auto"/>
        </w:rPr>
        <w:t>Accounts Receivable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Accounts Payable and Accrued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Liabilities </w:t>
      </w:r>
      <w:r>
        <w:rPr>
          <w:rFonts w:ascii="Times New Roman" w:cs="Times New Roman" w:eastAsia="Times New Roman" w:hAnsi="Times New Roman"/>
          <w:sz w:val="16"/>
          <w:szCs w:val="16"/>
          <w:color w:val="auto"/>
        </w:rPr>
        <w:t>(excluding the deferred compensation obligation described above), and</w:t>
      </w:r>
      <w:r>
        <w:rPr>
          <w:rFonts w:ascii="Times New Roman" w:cs="Times New Roman" w:eastAsia="Times New Roman" w:hAnsi="Times New Roman"/>
          <w:sz w:val="16"/>
          <w:szCs w:val="16"/>
          <w:i w:val="1"/>
          <w:iCs w:val="1"/>
          <w:color w:val="auto"/>
        </w:rPr>
        <w:t xml:space="preserve"> Payables under Inventory Purchase Agreements </w:t>
      </w:r>
      <w:r>
        <w:rPr>
          <w:rFonts w:ascii="Times New Roman" w:cs="Times New Roman" w:eastAsia="Times New Roman" w:hAnsi="Times New Roman"/>
          <w:sz w:val="16"/>
          <w:szCs w:val="16"/>
          <w:color w:val="auto"/>
        </w:rPr>
        <w:t>approximate fair value because of their short-term nature.</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carrying value and estimated fair value of long-term debt were as follows (in millions):</w:t>
      </w:r>
    </w:p>
    <w:p>
      <w:pPr>
        <w:spacing w:after="0" w:line="302"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320" w:type="dxa"/>
            <w:vAlign w:val="bottom"/>
          </w:tcPr>
          <w:p>
            <w:pPr>
              <w:spacing w:after="0"/>
              <w:rPr>
                <w:sz w:val="10"/>
                <w:szCs w:val="10"/>
                <w:color w:val="auto"/>
              </w:rPr>
            </w:pPr>
          </w:p>
        </w:tc>
        <w:tc>
          <w:tcPr>
            <w:tcW w:w="136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Estimated Fair Value</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320" w:type="dxa"/>
            <w:vAlign w:val="bottom"/>
          </w:tcPr>
          <w:p>
            <w:pPr>
              <w:spacing w:after="0"/>
              <w:rPr>
                <w:sz w:val="10"/>
                <w:szCs w:val="10"/>
                <w:color w:val="auto"/>
              </w:rPr>
            </w:pPr>
          </w:p>
        </w:tc>
        <w:tc>
          <w:tcPr>
            <w:tcW w:w="1380" w:type="dxa"/>
            <w:vAlign w:val="bottom"/>
            <w:gridSpan w:val="2"/>
          </w:tcPr>
          <w:p>
            <w:pPr>
              <w:jc w:val="right"/>
              <w:ind w:right="21"/>
              <w:spacing w:after="0" w:line="124" w:lineRule="exact"/>
              <w:rPr>
                <w:sz w:val="20"/>
                <w:szCs w:val="20"/>
                <w:color w:val="auto"/>
              </w:rPr>
            </w:pPr>
            <w:r>
              <w:rPr>
                <w:rFonts w:ascii="Times New Roman" w:cs="Times New Roman" w:eastAsia="Times New Roman" w:hAnsi="Times New Roman"/>
                <w:sz w:val="13"/>
                <w:szCs w:val="13"/>
                <w:b w:val="1"/>
                <w:bCs w:val="1"/>
                <w:color w:val="auto"/>
              </w:rPr>
              <w:t>Estimated Fair Value</w:t>
            </w:r>
          </w:p>
        </w:tc>
        <w:tc>
          <w:tcPr>
            <w:tcW w:w="0" w:type="dxa"/>
            <w:vAlign w:val="bottom"/>
          </w:tcPr>
          <w:p>
            <w:pPr>
              <w:spacing w:after="0"/>
              <w:rPr>
                <w:sz w:val="1"/>
                <w:szCs w:val="1"/>
                <w:color w:val="auto"/>
              </w:rPr>
            </w:pPr>
          </w:p>
        </w:tc>
      </w:tr>
      <w:tr>
        <w:trPr>
          <w:trHeight w:val="114"/>
        </w:trPr>
        <w:tc>
          <w:tcPr>
            <w:tcW w:w="2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gridSpan w:val="2"/>
          </w:tcPr>
          <w:p>
            <w:pPr>
              <w:jc w:val="center"/>
              <w:ind w:right="720"/>
              <w:spacing w:after="0"/>
              <w:rPr>
                <w:sz w:val="20"/>
                <w:szCs w:val="20"/>
                <w:color w:val="auto"/>
              </w:rPr>
            </w:pPr>
            <w:r>
              <w:rPr>
                <w:rFonts w:ascii="Times New Roman" w:cs="Times New Roman" w:eastAsia="Times New Roman" w:hAnsi="Times New Roman"/>
                <w:sz w:val="9"/>
                <w:szCs w:val="9"/>
                <w:b w:val="1"/>
                <w:bCs w:val="1"/>
                <w:color w:val="auto"/>
                <w:w w:val="94"/>
              </w:rPr>
              <w:t>(a)</w:t>
            </w: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jc w:val="right"/>
              <w:ind w:right="581"/>
              <w:spacing w:after="0"/>
              <w:rPr>
                <w:sz w:val="20"/>
                <w:szCs w:val="20"/>
                <w:color w:val="auto"/>
              </w:rPr>
            </w:pP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24"/>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2.25% Convertible Notes</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(b)</w:t>
            </w: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auto"/>
              </w:rPr>
              <w:t>(c)</w:t>
            </w: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391.7</w:t>
            </w:r>
          </w:p>
        </w:tc>
        <w:tc>
          <w:tcPr>
            <w:tcW w:w="320" w:type="dxa"/>
            <w:vAlign w:val="bottom"/>
            <w:vMerge w:val="continue"/>
          </w:tcPr>
          <w:p>
            <w:pPr>
              <w:spacing w:after="0"/>
              <w:rPr>
                <w:sz w:val="11"/>
                <w:szCs w:val="11"/>
                <w:color w:val="auto"/>
              </w:rPr>
            </w:pPr>
          </w:p>
        </w:tc>
        <w:tc>
          <w:tcPr>
            <w:tcW w:w="460" w:type="dxa"/>
            <w:vAlign w:val="bottom"/>
          </w:tcPr>
          <w:p>
            <w:pPr>
              <w:jc w:val="right"/>
              <w:ind w:right="313"/>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
              <w:spacing w:after="0" w:line="136" w:lineRule="exact"/>
              <w:rPr>
                <w:sz w:val="20"/>
                <w:szCs w:val="20"/>
                <w:color w:val="auto"/>
              </w:rPr>
            </w:pPr>
            <w:r>
              <w:rPr>
                <w:rFonts w:ascii="Times New Roman" w:cs="Times New Roman" w:eastAsia="Times New Roman" w:hAnsi="Times New Roman"/>
                <w:sz w:val="13"/>
                <w:szCs w:val="13"/>
                <w:color w:val="auto"/>
              </w:rPr>
              <w:t>816.1</w:t>
            </w:r>
          </w:p>
        </w:tc>
        <w:tc>
          <w:tcPr>
            <w:tcW w:w="240" w:type="dxa"/>
            <w:vAlign w:val="bottom"/>
          </w:tcPr>
          <w:p>
            <w:pPr>
              <w:spacing w:after="0"/>
              <w:rPr>
                <w:sz w:val="11"/>
                <w:szCs w:val="11"/>
                <w:color w:val="auto"/>
              </w:rPr>
            </w:pPr>
          </w:p>
        </w:tc>
        <w:tc>
          <w:tcPr>
            <w:tcW w:w="1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391.2</w:t>
            </w:r>
          </w:p>
        </w:tc>
        <w:tc>
          <w:tcPr>
            <w:tcW w:w="320" w:type="dxa"/>
            <w:vAlign w:val="bottom"/>
            <w:vMerge w:val="continue"/>
          </w:tcPr>
          <w:p>
            <w:pPr>
              <w:spacing w:after="0"/>
              <w:rPr>
                <w:sz w:val="11"/>
                <w:szCs w:val="11"/>
                <w:color w:val="auto"/>
              </w:rPr>
            </w:pPr>
          </w:p>
        </w:tc>
        <w:tc>
          <w:tcPr>
            <w:tcW w:w="500" w:type="dxa"/>
            <w:vAlign w:val="bottom"/>
          </w:tcPr>
          <w:p>
            <w:pPr>
              <w:jc w:val="right"/>
              <w:ind w:right="353"/>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1"/>
              <w:spacing w:after="0" w:line="136" w:lineRule="exact"/>
              <w:rPr>
                <w:sz w:val="20"/>
                <w:szCs w:val="20"/>
                <w:color w:val="auto"/>
              </w:rPr>
            </w:pPr>
            <w:r>
              <w:rPr>
                <w:rFonts w:ascii="Times New Roman" w:cs="Times New Roman" w:eastAsia="Times New Roman" w:hAnsi="Times New Roman"/>
                <w:sz w:val="13"/>
                <w:szCs w:val="13"/>
                <w:color w:val="auto"/>
              </w:rPr>
              <w:t>1080.4</w:t>
            </w:r>
          </w:p>
        </w:tc>
        <w:tc>
          <w:tcPr>
            <w:tcW w:w="0" w:type="dxa"/>
            <w:vAlign w:val="bottom"/>
          </w:tcPr>
          <w:p>
            <w:pPr>
              <w:spacing w:after="0"/>
              <w:rPr>
                <w:sz w:val="1"/>
                <w:szCs w:val="1"/>
                <w:color w:val="auto"/>
              </w:rPr>
            </w:pPr>
          </w:p>
        </w:tc>
      </w:tr>
      <w:tr>
        <w:trPr>
          <w:trHeight w:val="202"/>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0% Convertible Notes</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784.5</w:t>
            </w:r>
          </w:p>
        </w:tc>
        <w:tc>
          <w:tcPr>
            <w:tcW w:w="320" w:type="dxa"/>
            <w:vAlign w:val="bottom"/>
          </w:tcPr>
          <w:p>
            <w:pPr>
              <w:spacing w:after="0"/>
              <w:rPr>
                <w:sz w:val="20"/>
                <w:szCs w:val="20"/>
                <w:color w:val="auto"/>
              </w:rPr>
            </w:pPr>
            <w:r>
              <w:rPr>
                <w:rFonts w:ascii="Times New Roman" w:cs="Times New Roman" w:eastAsia="Times New Roman" w:hAnsi="Times New Roman"/>
                <w:sz w:val="9"/>
                <w:szCs w:val="9"/>
                <w:color w:val="auto"/>
              </w:rPr>
              <w:t>(c)</w:t>
            </w:r>
          </w:p>
        </w:tc>
        <w:tc>
          <w:tcPr>
            <w:tcW w:w="46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849.3</w:t>
            </w:r>
          </w:p>
        </w:tc>
        <w:tc>
          <w:tcPr>
            <w:tcW w:w="240" w:type="dxa"/>
            <w:vAlign w:val="bottom"/>
          </w:tcPr>
          <w:p>
            <w:pPr>
              <w:spacing w:after="0"/>
              <w:rPr>
                <w:sz w:val="17"/>
                <w:szCs w:val="17"/>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783.7</w:t>
            </w:r>
          </w:p>
        </w:tc>
        <w:tc>
          <w:tcPr>
            <w:tcW w:w="320" w:type="dxa"/>
            <w:vAlign w:val="bottom"/>
          </w:tcPr>
          <w:p>
            <w:pPr>
              <w:ind w:left="20"/>
              <w:spacing w:after="0"/>
              <w:rPr>
                <w:sz w:val="20"/>
                <w:szCs w:val="20"/>
                <w:color w:val="auto"/>
              </w:rPr>
            </w:pPr>
            <w:r>
              <w:rPr>
                <w:rFonts w:ascii="Times New Roman" w:cs="Times New Roman" w:eastAsia="Times New Roman" w:hAnsi="Times New Roman"/>
                <w:sz w:val="9"/>
                <w:szCs w:val="9"/>
                <w:color w:val="auto"/>
              </w:rPr>
              <w:t>(c)</w:t>
            </w:r>
          </w:p>
        </w:tc>
        <w:tc>
          <w:tcPr>
            <w:tcW w:w="5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1089.8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-226695</wp:posOffset>
            </wp:positionV>
            <wp:extent cx="5753735" cy="121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3735" cy="121285"/>
                    </a:xfrm>
                    <a:prstGeom prst="rect">
                      <a:avLst/>
                    </a:prstGeom>
                    <a:noFill/>
                  </pic:spPr>
                </pic:pic>
              </a:graphicData>
            </a:graphic>
          </wp:anchor>
        </w:drawing>
      </w:r>
    </w:p>
    <w:p>
      <w:pPr>
        <w:spacing w:after="0" w:line="115" w:lineRule="exact"/>
        <w:rPr>
          <w:sz w:val="20"/>
          <w:szCs w:val="20"/>
          <w:color w:val="auto"/>
        </w:rPr>
      </w:pPr>
    </w:p>
    <w:p>
      <w:pPr>
        <w:ind w:left="900" w:hanging="131"/>
        <w:spacing w:after="0"/>
        <w:tabs>
          <w:tab w:leader="none" w:pos="90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Estimated fair value is based on bid/ask quotes as of or near the balance sheet date, which are considered Level 2 inputs.</w:t>
      </w:r>
    </w:p>
    <w:p>
      <w:pPr>
        <w:spacing w:after="0" w:line="71" w:lineRule="exact"/>
        <w:rPr>
          <w:sz w:val="20"/>
          <w:szCs w:val="20"/>
          <w:color w:val="auto"/>
        </w:rPr>
      </w:pPr>
    </w:p>
    <w:p>
      <w:pPr>
        <w:ind w:left="900" w:right="560" w:hanging="126"/>
        <w:spacing w:after="0" w:line="230" w:lineRule="auto"/>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4"/>
          <w:szCs w:val="14"/>
          <w:color w:val="auto"/>
        </w:rPr>
        <w:t xml:space="preserve">As of March 31, 2026 and December 31, 2025, the carrying value of the 2.25% Convertible Notes is net of $10.8 million and $11.3 million of unamortized debt issuance costs, respectively. Refer to Note 6,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900" w:right="380" w:hanging="126"/>
        <w:spacing w:after="0" w:line="230" w:lineRule="auto"/>
        <w:rPr>
          <w:sz w:val="20"/>
          <w:szCs w:val="20"/>
          <w:color w:val="auto"/>
        </w:rPr>
      </w:pPr>
      <w:r>
        <w:rPr>
          <w:rFonts w:ascii="Times New Roman" w:cs="Times New Roman" w:eastAsia="Times New Roman" w:hAnsi="Times New Roman"/>
          <w:sz w:val="18"/>
          <w:szCs w:val="18"/>
          <w:color w:val="auto"/>
          <w:vertAlign w:val="superscript"/>
        </w:rPr>
        <w:t>(c)</w:t>
      </w:r>
      <w:r>
        <w:rPr>
          <w:rFonts w:ascii="Times New Roman" w:cs="Times New Roman" w:eastAsia="Times New Roman" w:hAnsi="Times New Roman"/>
          <w:sz w:val="14"/>
          <w:szCs w:val="14"/>
          <w:color w:val="auto"/>
        </w:rPr>
        <w:t xml:space="preserve">As of March 31, 2026 and December 31, 2025, the carrying value of the 0% Convertible Notes is net of $20.5 million and $21.3 million of unamortized debt issuance costs, respectively. Refer to Note 6,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PENSION AND POSTRETIREMENT HEALTH AND LIFE BENEFITS</w:t>
      </w:r>
    </w:p>
    <w:p>
      <w:pPr>
        <w:spacing w:after="0" w:line="200" w:lineRule="exact"/>
        <w:rPr>
          <w:sz w:val="20"/>
          <w:szCs w:val="20"/>
          <w:color w:val="auto"/>
        </w:rPr>
      </w:pPr>
    </w:p>
    <w:p>
      <w:pPr>
        <w:ind w:right="20" w:firstLine="191"/>
        <w:spacing w:after="0" w:line="259" w:lineRule="auto"/>
        <w:rPr>
          <w:sz w:val="20"/>
          <w:szCs w:val="20"/>
          <w:color w:val="auto"/>
        </w:rPr>
      </w:pPr>
      <w:r>
        <w:rPr>
          <w:rFonts w:ascii="Times New Roman" w:cs="Times New Roman" w:eastAsia="Times New Roman" w:hAnsi="Times New Roman"/>
          <w:sz w:val="16"/>
          <w:szCs w:val="16"/>
          <w:color w:val="auto"/>
        </w:rPr>
        <w:t>The Company provides retirement benefits to certain employees and retirees. The Company has one qualified defined benefit pension plan, one postretirement health and life benefit plan and two nonqualified plans.</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components of net periodic benefit costs (credits) for the defined benefit pension plans were as follows (in millions):</w:t>
      </w:r>
    </w:p>
    <w:p>
      <w:pPr>
        <w:spacing w:after="0" w:line="100"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238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80" w:type="dxa"/>
            <w:vAlign w:val="bottom"/>
            <w:tcBorders>
              <w:bottom w:val="single" w:sz="8" w:color="auto"/>
            </w:tcBorders>
          </w:tcPr>
          <w:p>
            <w:pPr>
              <w:spacing w:after="0"/>
              <w:rPr>
                <w:sz w:val="14"/>
                <w:szCs w:val="14"/>
                <w:color w:val="auto"/>
              </w:rPr>
            </w:pPr>
          </w:p>
        </w:tc>
      </w:tr>
      <w:tr>
        <w:trPr>
          <w:trHeight w:val="170"/>
        </w:trPr>
        <w:tc>
          <w:tcPr>
            <w:tcW w:w="43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2026</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costs</w:t>
            </w:r>
          </w:p>
        </w:tc>
        <w:tc>
          <w:tcPr>
            <w:tcW w:w="78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7"/>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costs</w:t>
            </w:r>
          </w:p>
        </w:tc>
        <w:tc>
          <w:tcPr>
            <w:tcW w:w="7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8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return on plan assets (gains)</w:t>
            </w:r>
          </w:p>
        </w:tc>
        <w:tc>
          <w:tcPr>
            <w:tcW w:w="7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70"/>
        </w:trPr>
        <w:tc>
          <w:tcPr>
            <w:tcW w:w="4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periodic benefit costs (credits)</w:t>
            </w:r>
          </w:p>
        </w:tc>
        <w:tc>
          <w:tcPr>
            <w:tcW w:w="7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4"/>
                <w:szCs w:val="14"/>
                <w:color w:val="auto"/>
              </w:rPr>
            </w:pPr>
          </w:p>
        </w:tc>
        <w:tc>
          <w:tcPr>
            <w:tcW w:w="3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4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components of net periodic benefit costs for the postretirement health and life benefit plan were as follows (in millions):</w:t>
      </w:r>
    </w:p>
    <w:p>
      <w:pPr>
        <w:spacing w:after="0" w:line="10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240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00" w:type="dxa"/>
            <w:vAlign w:val="bottom"/>
            <w:tcBorders>
              <w:bottom w:val="single" w:sz="8" w:color="auto"/>
            </w:tcBorders>
          </w:tcPr>
          <w:p>
            <w:pPr>
              <w:spacing w:after="0"/>
              <w:rPr>
                <w:sz w:val="14"/>
                <w:szCs w:val="14"/>
                <w:color w:val="auto"/>
              </w:rPr>
            </w:pPr>
          </w:p>
        </w:tc>
      </w:tr>
      <w:tr>
        <w:trPr>
          <w:trHeight w:val="170"/>
        </w:trPr>
        <w:tc>
          <w:tcPr>
            <w:tcW w:w="42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2026</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costs</w:t>
            </w:r>
          </w:p>
        </w:tc>
        <w:tc>
          <w:tcPr>
            <w:tcW w:w="80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0"/>
        </w:trPr>
        <w:tc>
          <w:tcPr>
            <w:tcW w:w="4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periodic benefit costs</w:t>
            </w:r>
          </w:p>
        </w:tc>
        <w:tc>
          <w:tcPr>
            <w:tcW w:w="8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r>
      <w:tr>
        <w:trPr>
          <w:trHeight w:val="20"/>
        </w:trPr>
        <w:tc>
          <w:tcPr>
            <w:tcW w:w="4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755" w:right="599" w:bottom="1440" w:gutter="0" w:footer="0" w:header="0"/>
        </w:sectPr>
      </w:pPr>
    </w:p>
    <w:bookmarkStart w:id="21" w:name="page22"/>
    <w:bookmarkEnd w:id="21"/>
    <w:p>
      <w:pPr>
        <w:ind w:right="460" w:firstLine="191"/>
        <w:spacing w:after="0" w:line="349" w:lineRule="auto"/>
        <w:rPr>
          <w:sz w:val="20"/>
          <w:szCs w:val="20"/>
          <w:color w:val="auto"/>
        </w:rPr>
      </w:pPr>
      <w:r>
        <w:rPr>
          <w:rFonts w:ascii="Times New Roman" w:cs="Times New Roman" w:eastAsia="Times New Roman" w:hAnsi="Times New Roman"/>
          <w:sz w:val="14"/>
          <w:szCs w:val="14"/>
          <w:color w:val="auto"/>
        </w:rPr>
        <w:t xml:space="preserve">The Company reports service costs for its defined benefit pension plans and its postretirement health and life benefit plans in </w:t>
      </w: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Selling, General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Administrative Expenses</w:t>
      </w:r>
      <w:r>
        <w:rPr>
          <w:rFonts w:ascii="Times New Roman" w:cs="Times New Roman" w:eastAsia="Times New Roman" w:hAnsi="Times New Roman"/>
          <w:sz w:val="14"/>
          <w:szCs w:val="14"/>
          <w:color w:val="auto"/>
        </w:rPr>
        <w:t>. The remaining components of net periodic benefit costs (credits) are reported as</w:t>
      </w:r>
      <w:r>
        <w:rPr>
          <w:rFonts w:ascii="Times New Roman" w:cs="Times New Roman" w:eastAsia="Times New Roman" w:hAnsi="Times New Roman"/>
          <w:sz w:val="14"/>
          <w:szCs w:val="14"/>
          <w:i w:val="1"/>
          <w:iCs w:val="1"/>
          <w:color w:val="auto"/>
        </w:rPr>
        <w:t xml:space="preserve"> Nonoperating Components of Net Periodic Benefit Loss (Income).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NET INCOME PER SHARE</w:t>
      </w:r>
    </w:p>
    <w:p>
      <w:pPr>
        <w:spacing w:after="0" w:line="200" w:lineRule="exact"/>
        <w:rPr>
          <w:sz w:val="20"/>
          <w:szCs w:val="20"/>
          <w:color w:val="auto"/>
        </w:rPr>
      </w:pPr>
    </w:p>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Basic net income per share is calculated by dividing net income allocable to common stockholders by the weighted average number of shares of Common Stock outstanding during the period. In calculating diluted net income per share, the number of shares is increased by the weighted average number of potential common shares related to stock compensation awards, including restricted stock units, restricted stock, and stock options and shares issuable under convertible notes. No dilutive effect is recognized in a period in which a net loss has occurred.</w:t>
      </w:r>
    </w:p>
    <w:p>
      <w:pPr>
        <w:spacing w:after="0" w:line="108" w:lineRule="exact"/>
        <w:rPr>
          <w:sz w:val="20"/>
          <w:szCs w:val="20"/>
          <w:color w:val="auto"/>
        </w:rPr>
      </w:pPr>
    </w:p>
    <w:p>
      <w:pPr>
        <w:ind w:firstLine="191"/>
        <w:spacing w:after="0" w:line="300" w:lineRule="auto"/>
        <w:rPr>
          <w:sz w:val="20"/>
          <w:szCs w:val="20"/>
          <w:color w:val="auto"/>
        </w:rPr>
      </w:pPr>
      <w:r>
        <w:rPr>
          <w:rFonts w:ascii="Times New Roman" w:cs="Times New Roman" w:eastAsia="Times New Roman" w:hAnsi="Times New Roman"/>
          <w:sz w:val="14"/>
          <w:szCs w:val="14"/>
          <w:color w:val="auto"/>
        </w:rPr>
        <w:t>On November 7, 2024, Centrus issued $402.5 million aggregate principal amount 2.25% Convertible Notes due 2030. On August 18, 2025, Centrus issued $805.0 million aggregate principal amount 0% Convertible Notes due 2032. The dilutive impact of both the 2.25% Convertible Notes and 0% Convertible Notes on the calculation of diluted income per share is considered using the if-converted method. However, because the principal amount of the 2.25% Convertible Notes and 0% Convertible Notes must be settled in cash, the dilutive impact of applying the if-converted method is limited to the in-the-money portion, if any, of the 2.25% Convertible Notes and 0% Convertible Notes.</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weighted average number of common and common equivalent shares used in the calculation of basic and diluted net income per share are as follows:</w:t>
      </w:r>
    </w:p>
    <w:p>
      <w:pPr>
        <w:spacing w:after="0" w:line="174"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146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00" w:type="dxa"/>
            <w:vAlign w:val="bottom"/>
            <w:tcBorders>
              <w:bottom w:val="single" w:sz="8" w:color="auto"/>
            </w:tcBorders>
          </w:tcPr>
          <w:p>
            <w:pPr>
              <w:spacing w:after="0"/>
              <w:rPr>
                <w:sz w:val="14"/>
                <w:szCs w:val="14"/>
                <w:color w:val="auto"/>
              </w:rPr>
            </w:pPr>
          </w:p>
        </w:tc>
      </w:tr>
      <w:tr>
        <w:trPr>
          <w:trHeight w:val="170"/>
        </w:trPr>
        <w:tc>
          <w:tcPr>
            <w:tcW w:w="6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6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 (in millions):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9"/>
        </w:trPr>
        <w:tc>
          <w:tcPr>
            <w:tcW w:w="6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10.0</w:t>
            </w:r>
          </w:p>
        </w:tc>
        <w:tc>
          <w:tcPr>
            <w:tcW w:w="16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27.2</w:t>
            </w:r>
          </w:p>
        </w:tc>
      </w:tr>
      <w:tr>
        <w:trPr>
          <w:trHeight w:val="129"/>
        </w:trPr>
        <w:tc>
          <w:tcPr>
            <w:tcW w:w="6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79"/>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 (in thousands):</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Average common shares outstanding - basic</w:t>
            </w: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19,773</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16,982</w:t>
            </w:r>
          </w:p>
        </w:tc>
      </w:tr>
      <w:tr>
        <w:trPr>
          <w:trHeight w:val="177"/>
        </w:trPr>
        <w:tc>
          <w:tcPr>
            <w:tcW w:w="6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Potentially dilutive shares related to equity-compensation awards</w:t>
            </w: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8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Potentially dilutive shares related to 2.25% Convertible Notes</w:t>
            </w: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2,459</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6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Potentially dilutive shares related to 0% Convertible Notes</w:t>
            </w:r>
          </w:p>
        </w:tc>
        <w:tc>
          <w:tcPr>
            <w:tcW w:w="7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6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Average common shares outstanding - diluted</w:t>
            </w:r>
          </w:p>
        </w:tc>
        <w:tc>
          <w:tcPr>
            <w:tcW w:w="7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22,446</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17,048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per share (in dollars):</w:t>
            </w: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7"/>
        </w:trPr>
        <w:tc>
          <w:tcPr>
            <w:tcW w:w="6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700" w:type="dxa"/>
            <w:vAlign w:val="bottom"/>
          </w:tcPr>
          <w:p>
            <w:pPr>
              <w:jc w:val="right"/>
              <w:ind w:right="55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16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8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70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10. STOCKHOLDERS’ EQUITY</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Common Stock Issuance</w:t>
      </w:r>
    </w:p>
    <w:p>
      <w:pPr>
        <w:spacing w:after="0" w:line="189" w:lineRule="exact"/>
        <w:rPr>
          <w:sz w:val="20"/>
          <w:szCs w:val="20"/>
          <w:color w:val="auto"/>
        </w:rPr>
      </w:pPr>
    </w:p>
    <w:p>
      <w:pPr>
        <w:ind w:right="140" w:firstLine="191"/>
        <w:spacing w:after="0" w:line="300" w:lineRule="auto"/>
        <w:rPr>
          <w:sz w:val="20"/>
          <w:szCs w:val="20"/>
          <w:color w:val="auto"/>
        </w:rPr>
      </w:pPr>
      <w:r>
        <w:rPr>
          <w:rFonts w:ascii="Times New Roman" w:cs="Times New Roman" w:eastAsia="Times New Roman" w:hAnsi="Times New Roman"/>
          <w:sz w:val="14"/>
          <w:szCs w:val="14"/>
          <w:color w:val="auto"/>
        </w:rPr>
        <w:t>Pursuant to a sales agreement with its agents, the Company sold through ATM offerings an aggregate of 258,197 shares of its Class A Common Stock at the market price in the three months ended March 31, 2025 for a total of $26.1 million. After expenses and commissions paid to the Agents, the Company’s proceeds totaled $25.4 million in the three months ended March 31, 2025. Additionally, the Company recorded direct costs of $0.1 million in the three months ended March 31, 2025 related to the issuance. As of June 30, 2025, the ATM offering was completed. The Company did not issue any shares of its Class A Common Stock under the ATM offerings in the three months ended March 31, 2026.</w:t>
      </w:r>
    </w:p>
    <w:p>
      <w:pPr>
        <w:spacing w:after="0" w:line="139" w:lineRule="exact"/>
        <w:rPr>
          <w:sz w:val="20"/>
          <w:szCs w:val="20"/>
          <w:color w:val="auto"/>
        </w:rPr>
      </w:pPr>
    </w:p>
    <w:p>
      <w:pPr>
        <w:ind w:right="260" w:firstLine="191"/>
        <w:spacing w:after="0" w:line="254" w:lineRule="auto"/>
        <w:rPr>
          <w:sz w:val="20"/>
          <w:szCs w:val="20"/>
          <w:color w:val="auto"/>
        </w:rPr>
      </w:pPr>
      <w:r>
        <w:rPr>
          <w:rFonts w:ascii="Times New Roman" w:cs="Times New Roman" w:eastAsia="Times New Roman" w:hAnsi="Times New Roman"/>
          <w:sz w:val="16"/>
          <w:szCs w:val="16"/>
          <w:color w:val="auto"/>
        </w:rPr>
        <w:t>The shares of Class A Common Stock were issued pursuant to the Company’s 2023 shelf registration statement on Form S-3 (File No. 333-272984), which was filed with the SEC on June 28, 2023 and became effective on July 10, 2023. This filing was supplemented by prospectus supplements dated February 9, 2024 and May 9, 2025, respectively. Pursuant to this shelf registration statement, the Company may offer and sell up to an aggregate of $200.0 million in securities.</w:t>
      </w:r>
    </w:p>
    <w:p>
      <w:pPr>
        <w:spacing w:after="0" w:line="159" w:lineRule="exact"/>
        <w:rPr>
          <w:sz w:val="20"/>
          <w:szCs w:val="20"/>
          <w:color w:val="auto"/>
        </w:rPr>
      </w:pPr>
    </w:p>
    <w:p>
      <w:pPr>
        <w:ind w:right="120" w:firstLine="191"/>
        <w:spacing w:after="0" w:line="252" w:lineRule="auto"/>
        <w:rPr>
          <w:sz w:val="20"/>
          <w:szCs w:val="20"/>
          <w:color w:val="auto"/>
        </w:rPr>
      </w:pPr>
      <w:r>
        <w:rPr>
          <w:rFonts w:ascii="Times New Roman" w:cs="Times New Roman" w:eastAsia="Times New Roman" w:hAnsi="Times New Roman"/>
          <w:sz w:val="16"/>
          <w:szCs w:val="16"/>
          <w:color w:val="auto"/>
        </w:rPr>
        <w:t>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working capital, investment in technology development and deployment, repayment of indebtedness, potential acquisitions and other business opportunities. Pending any specific application, the Company may initially invest funds in short-term marketable securities or apply them to the reduction of indebtedness.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Awards under Equity Incentive Plan</w:t>
      </w:r>
    </w:p>
    <w:p>
      <w:pPr>
        <w:spacing w:after="0" w:line="189" w:lineRule="exact"/>
        <w:rPr>
          <w:sz w:val="20"/>
          <w:szCs w:val="20"/>
          <w:color w:val="auto"/>
        </w:rPr>
      </w:pPr>
    </w:p>
    <w:p>
      <w:pPr>
        <w:ind w:right="220" w:firstLine="191"/>
        <w:spacing w:after="0" w:line="273" w:lineRule="auto"/>
        <w:rPr>
          <w:sz w:val="20"/>
          <w:szCs w:val="20"/>
          <w:color w:val="auto"/>
        </w:rPr>
      </w:pPr>
      <w:r>
        <w:rPr>
          <w:rFonts w:ascii="Times New Roman" w:cs="Times New Roman" w:eastAsia="Times New Roman" w:hAnsi="Times New Roman"/>
          <w:sz w:val="16"/>
          <w:szCs w:val="16"/>
          <w:color w:val="auto"/>
        </w:rPr>
        <w:t>Under the Company’s 2014 Equity Incentive Plan, as amended, participating employees are eligible to receive grants of equity awards such as restricted stock, restricted stock units (“RSUs”), notional stock units and SARs, and other stock-based awards.</w:t>
      </w:r>
    </w:p>
    <w:p>
      <w:pPr>
        <w:spacing w:after="0" w:line="154" w:lineRule="exact"/>
        <w:rPr>
          <w:sz w:val="20"/>
          <w:szCs w:val="20"/>
          <w:color w:val="auto"/>
        </w:rPr>
      </w:pPr>
    </w:p>
    <w:p>
      <w:pPr>
        <w:ind w:firstLine="191"/>
        <w:spacing w:after="0" w:line="307" w:lineRule="auto"/>
        <w:rPr>
          <w:sz w:val="20"/>
          <w:szCs w:val="20"/>
          <w:color w:val="auto"/>
        </w:rPr>
      </w:pPr>
      <w:r>
        <w:rPr>
          <w:rFonts w:ascii="Times New Roman" w:cs="Times New Roman" w:eastAsia="Times New Roman" w:hAnsi="Times New Roman"/>
          <w:sz w:val="14"/>
          <w:szCs w:val="14"/>
          <w:color w:val="auto"/>
        </w:rPr>
        <w:t xml:space="preserve">In March 2022, 2023, and 2024 and in February 2025, RSUs were granted to participating executives with a vesting period ending in March 2025, 2026, 2027, and 2028, respectively. The RSU awards are time based and payable in shares of the Company’s Class A Common Stock, subject to the Company achieving a threshold level of cumulative net income over the respective vesting period. The grant-date fair value is included in </w:t>
      </w:r>
      <w:r>
        <w:rPr>
          <w:rFonts w:ascii="Times New Roman" w:cs="Times New Roman" w:eastAsia="Times New Roman" w:hAnsi="Times New Roman"/>
          <w:sz w:val="14"/>
          <w:szCs w:val="14"/>
          <w:i w:val="1"/>
          <w:iCs w:val="1"/>
          <w:color w:val="auto"/>
        </w:rPr>
        <w:t>Excess of Capital Over Par Value</w:t>
      </w:r>
      <w:r>
        <w:rPr>
          <w:rFonts w:ascii="Times New Roman" w:cs="Times New Roman" w:eastAsia="Times New Roman" w:hAnsi="Times New Roman"/>
          <w:sz w:val="14"/>
          <w:szCs w:val="14"/>
          <w:color w:val="auto"/>
        </w:rPr>
        <w:t xml:space="preserve"> as the value is amortized over the vesting period.</w:t>
      </w:r>
    </w:p>
    <w:p>
      <w:pPr>
        <w:spacing w:after="0" w:line="125"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Class A Common Stock issued for the 2022-2024 performance period were issued in March 2025. The Class A Common Stock issued for the 2023-2025 performance period were issued in March 2026. Under the terms of the incentive plan, the Company withheld $0.3 million of shares for the shares issued in both March 2025 and March 2026 to fund the tax withholding obligations of the share recipients.</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Company has also issued time-based restricted stock units periodically in connection with onboarding new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23" w:name="page24"/>
    <w:bookmarkEnd w:id="23"/>
    <w:p>
      <w:pPr>
        <w:jc w:val="both"/>
        <w:ind w:right="7940" w:firstLine="5"/>
        <w:spacing w:after="0" w:line="561" w:lineRule="auto"/>
        <w:tabs>
          <w:tab w:leader="none" w:pos="225"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Commitments under SWU Purchase Agreements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TENEX</w:t>
      </w:r>
    </w:p>
    <w:p>
      <w:pPr>
        <w:spacing w:after="0" w:line="200"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The Russian government-owned entity TENEX is a major supplier of SWU to the Company. Under the 2011 TENEX Supply Contract, the Company purchases SWU contained in LEU received from TENEX, and the Company delivers natural uranium hexafluoride to TENEX for the LEU’s uranium component. The LEU that the Company obtains from TENEX is subject to quotas and other restrictions applicable to commercial Russian LEU. Further, the ability of the Company or TENEX to perform under the TENEX Supply Contract is vulnerable to (i) sanctions or restrictions that have been or might be imposed by Russia, the United States, or other countries as a result of the war in Ukraine, or otherwise, (ii) customers and other parties who may object to receiving or handling Russian LEU or SWU, or (iii) suppliers and service providers seeking to limit their involvement with business related to Russia.</w:t>
      </w:r>
    </w:p>
    <w:p>
      <w:pPr>
        <w:spacing w:after="0" w:line="164" w:lineRule="exact"/>
        <w:rPr>
          <w:sz w:val="20"/>
          <w:szCs w:val="20"/>
          <w:color w:val="auto"/>
        </w:rPr>
      </w:pPr>
    </w:p>
    <w:p>
      <w:pPr>
        <w:ind w:right="100" w:firstLine="191"/>
        <w:spacing w:after="0" w:line="315" w:lineRule="auto"/>
        <w:rPr>
          <w:sz w:val="20"/>
          <w:szCs w:val="20"/>
          <w:color w:val="auto"/>
        </w:rPr>
      </w:pPr>
      <w:r>
        <w:rPr>
          <w:rFonts w:ascii="Times New Roman" w:cs="Times New Roman" w:eastAsia="Times New Roman" w:hAnsi="Times New Roman"/>
          <w:sz w:val="14"/>
          <w:szCs w:val="14"/>
          <w:color w:val="auto"/>
        </w:rPr>
        <w:t>The TENEX Supply Contract was originally signed with commitments through 2022 but was modified in 2015 to give the Company the right to reschedule certain original commitments of SWU quantities into the period 2023 and beyond, in return for the purchase of additional SWU quantities in those years. The Company has exercised this right to reschedule SWU quantities in each year through December 31, 2024. As a result of exercising this right, the Company has purchase commitments that could extend to 2028.</w:t>
      </w:r>
    </w:p>
    <w:p>
      <w:pPr>
        <w:spacing w:after="0" w:line="119" w:lineRule="exact"/>
        <w:rPr>
          <w:sz w:val="20"/>
          <w:szCs w:val="20"/>
          <w:color w:val="auto"/>
        </w:rPr>
      </w:pPr>
    </w:p>
    <w:p>
      <w:pPr>
        <w:ind w:right="40" w:firstLine="191"/>
        <w:spacing w:after="0" w:line="273" w:lineRule="auto"/>
        <w:rPr>
          <w:sz w:val="20"/>
          <w:szCs w:val="20"/>
          <w:color w:val="auto"/>
        </w:rPr>
      </w:pPr>
      <w:r>
        <w:rPr>
          <w:rFonts w:ascii="Times New Roman" w:cs="Times New Roman" w:eastAsia="Times New Roman" w:hAnsi="Times New Roman"/>
          <w:sz w:val="16"/>
          <w:szCs w:val="16"/>
          <w:color w:val="auto"/>
        </w:rPr>
        <w:t>The TENEX Supply Contract provides that the Company must pay for all SWU in its minimum purchase obligation each year, even if it fails to submit orders for such SWU. In such a case, the Company would be required to pay for the SWU and required to take the unordered SWU in the following year.</w:t>
      </w:r>
    </w:p>
    <w:p>
      <w:pPr>
        <w:spacing w:after="0" w:line="144" w:lineRule="exact"/>
        <w:rPr>
          <w:sz w:val="20"/>
          <w:szCs w:val="20"/>
          <w:color w:val="auto"/>
        </w:rPr>
      </w:pPr>
    </w:p>
    <w:p>
      <w:pPr>
        <w:ind w:right="580" w:firstLine="191"/>
        <w:spacing w:after="0" w:line="273" w:lineRule="auto"/>
        <w:rPr>
          <w:sz w:val="20"/>
          <w:szCs w:val="20"/>
          <w:color w:val="auto"/>
        </w:rPr>
      </w:pPr>
      <w:r>
        <w:rPr>
          <w:rFonts w:ascii="Times New Roman" w:cs="Times New Roman" w:eastAsia="Times New Roman" w:hAnsi="Times New Roman"/>
          <w:sz w:val="16"/>
          <w:szCs w:val="16"/>
          <w:color w:val="auto"/>
        </w:rPr>
        <w:t>Under the TENEX Supply Contract, pricing terms for SWU are based on a combination of market-related price points and other factors. This formula was subject to an adjustment at the end of 2018 that reduced the unit costs of SWU under this contract in 2019 and for the duration of the contract.</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Orano</w:t>
      </w:r>
    </w:p>
    <w:p>
      <w:pPr>
        <w:spacing w:after="0" w:line="189" w:lineRule="exact"/>
        <w:rPr>
          <w:sz w:val="20"/>
          <w:szCs w:val="20"/>
          <w:color w:val="auto"/>
        </w:rPr>
      </w:pPr>
    </w:p>
    <w:p>
      <w:pPr>
        <w:ind w:right="200" w:firstLine="191"/>
        <w:spacing w:after="0" w:line="248" w:lineRule="auto"/>
        <w:rPr>
          <w:sz w:val="20"/>
          <w:szCs w:val="20"/>
          <w:color w:val="auto"/>
        </w:rPr>
      </w:pPr>
      <w:r>
        <w:rPr>
          <w:rFonts w:ascii="Times New Roman" w:cs="Times New Roman" w:eastAsia="Times New Roman" w:hAnsi="Times New Roman"/>
          <w:sz w:val="16"/>
          <w:szCs w:val="16"/>
          <w:color w:val="auto"/>
        </w:rPr>
        <w:t>In 2018, the Company entered into the Orano Supply Agreement with a French state-owned company, Orano Cycle, for the long-term supply of SWU contained in LEU. The Orano Supply Agreement was subsequently assigned by Orano Cycle to its affiliate, Orano CE. Under the amended Orano Supply Agreement, the supply of SWU runs through 2030. The Orano Supply Agreement provides significant flexibility to adjust purchase volumes, subject to annual minimums and maximums in fixed amounts that vary year by year. The pricing for the SWU purchased by the Company is determined by a formula that uses a combination of market-related price points and other factors and is subject to certain floors and ceilings.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Engineering, Procurement and Construction Contract</w:t>
      </w:r>
    </w:p>
    <w:p>
      <w:pPr>
        <w:spacing w:after="0" w:line="200" w:lineRule="exact"/>
        <w:rPr>
          <w:sz w:val="20"/>
          <w:szCs w:val="20"/>
          <w:color w:val="auto"/>
        </w:rPr>
      </w:pPr>
    </w:p>
    <w:p>
      <w:pPr>
        <w:jc w:val="both"/>
        <w:ind w:right="100" w:firstLine="191"/>
        <w:spacing w:after="0" w:line="254" w:lineRule="auto"/>
        <w:rPr>
          <w:sz w:val="20"/>
          <w:szCs w:val="20"/>
          <w:color w:val="auto"/>
        </w:rPr>
      </w:pPr>
      <w:r>
        <w:rPr>
          <w:rFonts w:ascii="Times New Roman" w:cs="Times New Roman" w:eastAsia="Times New Roman" w:hAnsi="Times New Roman"/>
          <w:sz w:val="16"/>
          <w:szCs w:val="16"/>
          <w:color w:val="auto"/>
        </w:rPr>
        <w:t>On February 9, 2026, ACO entered into an EPC contract with Fluor Federal Services, Inc. (“Fluor”), a third-party contractor, for the commercial expansion and deployment of LEU and HALEU production capability at the American Centrifuge Plant (ACP) in Piketon, Ohio. The contract provides for compensation on a time and materials basis at agreed labor rates and extends until the completion of performance.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4" w:name="page25"/>
    <w:bookmarkEnd w:id="24"/>
    <w:p>
      <w:pPr>
        <w:ind w:firstLine="191"/>
        <w:spacing w:after="0" w:line="248" w:lineRule="auto"/>
        <w:rPr>
          <w:sz w:val="20"/>
          <w:szCs w:val="20"/>
          <w:color w:val="auto"/>
        </w:rPr>
      </w:pPr>
      <w:r>
        <w:rPr>
          <w:rFonts w:ascii="Times New Roman" w:cs="Times New Roman" w:eastAsia="Times New Roman" w:hAnsi="Times New Roman"/>
          <w:sz w:val="16"/>
          <w:szCs w:val="16"/>
          <w:color w:val="auto"/>
        </w:rPr>
        <w:t>Under the contract, Fluor’s services will include design, engineering, procurement, construction and construction management, and related services to support full commercial HALEU and LEU operations. Fluor will be paid a reimbursable amount for all costs incurred in connection with the relevant work (such as labor, equipment, materials, and other direct costs), plus other agreed upon margins. ACO will fund the services by establishing a zero-balance and escrow general disbursement account that will be administered in accordance with agreed-upon procedures. ACO will authorize funds incrementally in accordance with stage gates and Fluor’s performance is limited by the authorized funding. The Company has not incurred any costs under the contract and has not deposited any funds into the escrow account. The total price paid to the Contractor will depend on the scope of the services authorized by the ACO, in accordance with the terms of the contract.</w:t>
      </w:r>
    </w:p>
    <w:p>
      <w:pPr>
        <w:spacing w:after="0" w:line="175" w:lineRule="exact"/>
        <w:rPr>
          <w:sz w:val="20"/>
          <w:szCs w:val="20"/>
          <w:color w:val="auto"/>
        </w:rPr>
      </w:pPr>
    </w:p>
    <w:p>
      <w:pPr>
        <w:jc w:val="both"/>
        <w:ind w:right="380" w:firstLine="191"/>
        <w:spacing w:after="0" w:line="254" w:lineRule="auto"/>
        <w:rPr>
          <w:sz w:val="20"/>
          <w:szCs w:val="20"/>
          <w:color w:val="auto"/>
        </w:rPr>
      </w:pPr>
      <w:r>
        <w:rPr>
          <w:rFonts w:ascii="Times New Roman" w:cs="Times New Roman" w:eastAsia="Times New Roman" w:hAnsi="Times New Roman"/>
          <w:sz w:val="16"/>
          <w:szCs w:val="16"/>
          <w:color w:val="auto"/>
        </w:rPr>
        <w:t xml:space="preserve">The contract may be terminated or suspended by ACO or Fluor for cause, or by ACO for convenience, in which case Fluor is entitled to compensation for services and any applicable fee provided through termination. In the event of cancellation by ACO for reasons other than Fluor’s default, Fluor is also entitled to a cancellation fee in the initial amount of </w:t>
      </w:r>
      <w:r>
        <w:rPr>
          <w:rFonts w:ascii="Times New Roman" w:cs="Times New Roman" w:eastAsia="Times New Roman" w:hAnsi="Times New Roman"/>
          <w:sz w:val="14"/>
          <w:szCs w:val="14"/>
          <w:color w:val="auto"/>
        </w:rPr>
        <w:t>$24.0</w:t>
      </w:r>
      <w:r>
        <w:rPr>
          <w:rFonts w:ascii="Times New Roman" w:cs="Times New Roman" w:eastAsia="Times New Roman" w:hAnsi="Times New Roman"/>
          <w:sz w:val="16"/>
          <w:szCs w:val="16"/>
          <w:color w:val="auto"/>
        </w:rPr>
        <w:t xml:space="preserve"> million on February 9, 2026, subsequently decreasing by </w:t>
      </w:r>
      <w:r>
        <w:rPr>
          <w:rFonts w:ascii="Times New Roman" w:cs="Times New Roman" w:eastAsia="Times New Roman" w:hAnsi="Times New Roman"/>
          <w:sz w:val="14"/>
          <w:szCs w:val="14"/>
          <w:color w:val="auto"/>
        </w:rPr>
        <w:t>$2.0</w:t>
      </w:r>
      <w:r>
        <w:rPr>
          <w:rFonts w:ascii="Times New Roman" w:cs="Times New Roman" w:eastAsia="Times New Roman" w:hAnsi="Times New Roman"/>
          <w:sz w:val="16"/>
          <w:szCs w:val="16"/>
          <w:color w:val="auto"/>
        </w:rPr>
        <w:t xml:space="preserve"> million per month until reaching </w:t>
      </w:r>
      <w:r>
        <w:rPr>
          <w:rFonts w:ascii="Times New Roman" w:cs="Times New Roman" w:eastAsia="Times New Roman" w:hAnsi="Times New Roman"/>
          <w:sz w:val="14"/>
          <w:szCs w:val="14"/>
          <w:color w:val="auto"/>
        </w:rPr>
        <w:t>$0</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Milestones Under the 2002 DOE-USEC Agreement</w:t>
      </w:r>
    </w:p>
    <w:p>
      <w:pPr>
        <w:spacing w:after="0" w:line="200" w:lineRule="exact"/>
        <w:rPr>
          <w:sz w:val="20"/>
          <w:szCs w:val="20"/>
          <w:color w:val="auto"/>
        </w:rPr>
      </w:pPr>
    </w:p>
    <w:p>
      <w:pPr>
        <w:ind w:right="40" w:firstLine="191"/>
        <w:spacing w:after="0" w:line="283" w:lineRule="auto"/>
        <w:rPr>
          <w:sz w:val="20"/>
          <w:szCs w:val="20"/>
          <w:color w:val="auto"/>
        </w:rPr>
      </w:pPr>
      <w:r>
        <w:rPr>
          <w:rFonts w:ascii="Times New Roman" w:cs="Times New Roman" w:eastAsia="Times New Roman" w:hAnsi="Times New Roman"/>
          <w:sz w:val="14"/>
          <w:szCs w:val="14"/>
          <w:color w:val="auto"/>
        </w:rPr>
        <w:t>The Company’s predecessor, USEC Inc., and DOE signed the 2002 DOE-USEC Agreement dated June 17, 2002, pursuant to which the parties made long-term commitments directed at resolving issues related to the stability and security of the domestic uranium enrichment industry. This agreement requires Centrus to develop, demonstrate and deploy advanced enrichment technology in accordance with milestones, including the deployment of a commercial American Centrifuge Plant, and provides for remedies in the event of a failure to meet a milestone under certain circumstances, including terminating the agreement, revoking Centrus’ access to DOE’s centrifuge technology that is required for the success of the Company’s ongoing work with the American Centrifuge technology, requiring Centrus to transfer certain rights in the American Centrifuge technology and facilities to DOE, and requiring Centrus to reimburse DOE for certain costs associated with the American Centrifuge technology. The agreement further provides that if a delaying event beyond the control and without the fault or negligence of Centrus occurs that could affect Centrus’ ability to meet the American Centrifuge Plant milestones under the agreement, DOE and the Company will jointly meet to discuss in good faith possible adjustments to the milestones as appropriate to accommodate the delaying event. In 2014, the 2002 DOE-USEC Agreement and other agreements between the Company and DOE were assumed by Centrus subject to an express reservation of all rights, remedies and defenses by DOE and the Company under those agreements. DOE and the Company have agreed that all rights, remedies and defenses of the parties with respect to any missed milestones and all other matters under the 2002 DOE-USEC Agreement continue to be preserved, and that the time limits for each party to respond to any missed milestones continue to be tolled.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From time to time, the Company is involved in various pending legal proceedings, including the pending legal proceedings described below.</w:t>
      </w:r>
    </w:p>
    <w:p>
      <w:pPr>
        <w:spacing w:after="0" w:line="187"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In 1993, USEC-Government entered into a lease for the Paducah and Portsmouth GDPs with the DOE. As part of that lease, DOE and USEC-Government also entered into a memorandum of understanding (“Power MOU”) regarding power purchase agreements between DOE and the providers of power to the GDPs. Under the Power MOU, DOE and USEC-Government agreed upon the allocation of rights and liabilities under the power purchase agreements. In 1998, USEC-Government was privatized and became Enrichment Corp., now a principal subsidiary of the Company. Pursuant to legislation authorizing the privatization, the lease for the GDPs, which included the Power MOU as an Appendix, was transferred to Enrichment Corp., and Enrichment Corp. was given the right to purchase power from DOE. The Paducah GDP was shut down in 2013 and deleased by Enrichment Corp. in 2014. On August 4, 2021, DOE informally informed Enrichment Corp. that the Joppa Power Plant, which had supplied power to the Paducah GDP, was planned to undergo D&amp;D. According to DOE, the power purchase agreement with Electric Energy Inc. requires DOE to pay for a portion of the D&amp;D costs of the Joppa Power Plant, and DOE has asserted that a portion of DOE’s liability is the responsibility of Enrichment Corp. under the Power MOU in the amount of approximately $9.6 million. The Company is assessing DOE’s assertions including whether all or a portion of any such potential liability had been previously settled. The Company has not formed an opinion on the merits of DOE’s claim nor is it able to estimate its potential liability, if any, for such claim and no expense or liability has been accrued.</w:t>
      </w:r>
    </w:p>
    <w:p>
      <w:pPr>
        <w:spacing w:after="0" w:line="165" w:lineRule="exact"/>
        <w:rPr>
          <w:sz w:val="20"/>
          <w:szCs w:val="20"/>
          <w:color w:val="auto"/>
        </w:rPr>
      </w:pPr>
    </w:p>
    <w:p>
      <w:pPr>
        <w:ind w:right="60" w:firstLine="191"/>
        <w:spacing w:after="0" w:line="282" w:lineRule="auto"/>
        <w:rPr>
          <w:sz w:val="20"/>
          <w:szCs w:val="20"/>
          <w:color w:val="auto"/>
        </w:rPr>
      </w:pPr>
      <w:r>
        <w:rPr>
          <w:rFonts w:ascii="Times New Roman" w:cs="Times New Roman" w:eastAsia="Times New Roman" w:hAnsi="Times New Roman"/>
          <w:sz w:val="14"/>
          <w:szCs w:val="14"/>
          <w:color w:val="auto"/>
        </w:rPr>
        <w:t>On May 26, 2019, the Company, Enrichment Corp., and six other DOE contractors who have operated facilities at the Portsmouth GDP (including, in the case of the Company, the American Centrifuge Plant site located on the premises) were named as defendants in a class action complaint filed by Ursula McGlone, Jason McGlone, Julia Dunham, and K.D. and C.D., minor children by and through their parent and natural guardian Julia Dunham (collectively, the “McGlone Plaintiffs”) in the U.S. District Court in the Southern District of Ohio, Eastern Division. The complaint seeks damages for alleged off-site contamination allegedly resulting from activities on the Portsmouth GDP site. The McGlone Plaintiffs are seeking to represent a class of (i) all current or former residents within a seven-mile radius of the Portsmouth GDP site; and (ii) all students and their parents at the Zahn’s Corner Middle School from 1993-present. The complaint was amended on December 10, 2019, and on January 10, 2020 to add additional plaintiffs and new claims. On July 31, 2020, the court granted in part and denied in part the defendants’ motion to dismiss the case. The court dismissed ten of the fifteen claims and allowed the remaining claims to proceed to the next stage of the litigation process. On August 18, 2020, the McGlone Plaintiffs filed a motion for leave to file a third amended complaint and notice of dismissal of three of the individual plaintiffs. On March 18, 2021, the McGlone Plaintiffs filed a motion for leave to file a fourth amended complaint to add new plaintiffs and allegations. On March 19, 2021, the court granted the McGlone Plaintiffs’ motion for leave to amend the complaint to include Price-Anderson Act and eight other state law claims. On May 24, 2021, the Company, Enrichment Corp., and the other defendants filed their motion to dismiss the complaint. On March 31, 2022, the court granted the Company’s motion in part by dismissing claims brought on behalf of the minor children but allowed the other claims to proceed. As such, the discovery stage of litigation is continuing. On April 28, 2022, the Company, Enrichment Corp., and the other defendants filed their answer to the fourth amended complaint. The Company believes that its operations at the Portsmouth GDP site were fully in compliance with the NRC’s regulations. Further, the Company and Enrichment Corp. believe that any such liability should be indemnified under the Price-Anderson Act. The Company and Enrichment Corp. have provided notifications to DOE required to invoke indemnification under the Price-Anderson Act and other contractual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6" w:name="page27"/>
    <w:bookmarkEnd w:id="26"/>
    <w:p>
      <w:pPr>
        <w:ind w:right="40" w:firstLine="191"/>
        <w:spacing w:after="0" w:line="289" w:lineRule="auto"/>
        <w:rPr>
          <w:sz w:val="20"/>
          <w:szCs w:val="20"/>
          <w:color w:val="auto"/>
        </w:rPr>
      </w:pPr>
      <w:r>
        <w:rPr>
          <w:rFonts w:ascii="Times New Roman" w:cs="Times New Roman" w:eastAsia="Times New Roman" w:hAnsi="Times New Roman"/>
          <w:sz w:val="14"/>
          <w:szCs w:val="14"/>
          <w:color w:val="auto"/>
        </w:rPr>
        <w:t>On June 8, 2022, the Company, Enrichment Corp., and six other DOE contractors who operated facilities at the Portsmouth GDP were named as defendants in a complaint filed by Brad Allen Lykins, as administrator of the estate of Braden Aaron Lee Lykins in the U.S. District Court in the Southern District of Ohio, Eastern Division (the “Lykins Complaint”). In March 2021, Brayden Lykins, who was thirteen years old, passed away from leukemia. The complaint alleges that the defendants released radiation into the environment in violation of the Price-Anderson Act causing Lykins’ death and seeks monetary damages. On August 30, 2022, the Company, Enrichment Corp., and the other defendants filed their answer to the Lykins Complaint. The Company and Enrichment Corp. believe that their operations at the Portsmouth GDP site were fully in compliance with the NRC’s regulations. Further, the Company and Enrichment Corp. believe that any such liability should be indemnified by DOE under the Price-Anderson Act. The Company and Enrichment Corp. have provided notifications to DOE required to invoke indemnification under the Price-Anderson Act and other contractual provisions.</w:t>
      </w:r>
    </w:p>
    <w:p>
      <w:pPr>
        <w:spacing w:after="0" w:line="139" w:lineRule="exact"/>
        <w:rPr>
          <w:sz w:val="20"/>
          <w:szCs w:val="20"/>
          <w:color w:val="auto"/>
        </w:rPr>
      </w:pPr>
    </w:p>
    <w:p>
      <w:pPr>
        <w:ind w:firstLine="191"/>
        <w:spacing w:after="0" w:line="286" w:lineRule="auto"/>
        <w:rPr>
          <w:sz w:val="20"/>
          <w:szCs w:val="20"/>
          <w:color w:val="auto"/>
        </w:rPr>
      </w:pPr>
      <w:r>
        <w:rPr>
          <w:rFonts w:ascii="Times New Roman" w:cs="Times New Roman" w:eastAsia="Times New Roman" w:hAnsi="Times New Roman"/>
          <w:sz w:val="14"/>
          <w:szCs w:val="14"/>
          <w:color w:val="auto"/>
        </w:rPr>
        <w:t>On March 8, 2023, the Company, Enrichment Corp., and six other DOE contractors that operated facilities at the Portsmouth GDP were named as defendants in a complaint filed by Christian Rose in the U.S. District Court in the Southern District of Ohio, Eastern Division (the “Rose Complaint”). Christian Rose was diagnosed with cancer in June 2022. Although Mr. Rose is an adult, he attended the Zahn’s Corner Middle School, which was closed a few years ago due to contamination and is in the vicinity of the plant. The Rose Complaint alleges that the defendants released radiation into the environment in violation of the Price-Anderson Act causing death – even though the plaintiff is still alive – and seeks monetary damages in the nature of past and future medical expenses, pain and suffering and punitive damages, among others. On May 15, 2023, the Company, Enrichment Corp. and the other defendants filed their answers to the Rose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spacing w:after="0" w:line="152" w:lineRule="exact"/>
        <w:rPr>
          <w:sz w:val="20"/>
          <w:szCs w:val="20"/>
          <w:color w:val="auto"/>
        </w:rPr>
      </w:pPr>
    </w:p>
    <w:p>
      <w:pPr>
        <w:ind w:right="20" w:firstLine="191"/>
        <w:spacing w:after="0" w:line="245" w:lineRule="auto"/>
        <w:rPr>
          <w:sz w:val="20"/>
          <w:szCs w:val="20"/>
          <w:color w:val="auto"/>
        </w:rPr>
      </w:pPr>
      <w:r>
        <w:rPr>
          <w:rFonts w:ascii="Times New Roman" w:cs="Times New Roman" w:eastAsia="Times New Roman" w:hAnsi="Times New Roman"/>
          <w:sz w:val="16"/>
          <w:szCs w:val="16"/>
          <w:color w:val="auto"/>
        </w:rPr>
        <w:t>On November 27, 2023, the Company, Enrichment Corp. and six other DOE contractors who operated facilities at the Portsmouth GDP were named as defendants in a complaint filed by Joshua Shaw in the U.S. District Court in the Southern District of Ohio, Eastern Division (the “Shaw Complaint”). Joshua Shaw was diagnosed with Acute Myeloid Leukemia (“AML”) in August 2008 and after going through chemotherapy continues to experience aftereffects of AML, including anxiety and fatigue. The Shaw Complaint alleges that the defendants released radiation into the environment exposing Mr. Shaw to radiation in violation of the Price-Anderson Act and causing Mr. Shaw’s AML and other injuries. Mr. Shaw seeks monetary damages in the nature of past and future medical expenses for treatment and care, pain and suffering and punitive damages, among others. On February 26, 2024, the Company, Enrichment Corp. and the other defendants filed their motion to dismiss the Shaw Complaint, which was thereafter amended on March 14, 2024. On March 28, 2024, the Company, Enrichment Corp. and the other defendants filed their motion to dismiss the amended Shaw Complaint, and, on May 31, 2024 filed their reply to support their motion to dismiss the amended Shaw Complaint. On March 31, 2025, the Court did not grant the Company’s motion to dismiss the Complaint for being time-barred. On April 14, 2025, the Company, Enrichment Corp., and the other defendants filed their answer to the amended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27" w:name="page28"/>
    <w:bookmarkEnd w:id="27"/>
    <w:p>
      <w:pPr>
        <w:ind w:right="40" w:firstLine="191"/>
        <w:spacing w:after="0" w:line="231" w:lineRule="auto"/>
        <w:rPr>
          <w:sz w:val="20"/>
          <w:szCs w:val="20"/>
          <w:color w:val="auto"/>
        </w:rPr>
      </w:pPr>
      <w:r>
        <w:rPr>
          <w:rFonts w:ascii="Times New Roman" w:cs="Times New Roman" w:eastAsia="Times New Roman" w:hAnsi="Times New Roman"/>
          <w:sz w:val="16"/>
          <w:szCs w:val="16"/>
          <w:color w:val="auto"/>
        </w:rPr>
        <w:t>On November 24, 2025, the Company, Enrichment Corp., and five other DOE contractors who operated facilities at the Portsmouth GDP were named as defendants in a complaint filed by Julia Dunham in the U.S. District Court in the Southern District of Ohio, Eastern Division (“Dunham Complaint”). In November 2015, Cheyenne Dunham, who was nineteen years old, passed away due to complications following a bone marrow transplant. The complaint alleges that the defendants released radiation into the environment in violation of the Price-Anderson Act causing Ms. Dunham’s death and seeks monetary damages. On March 23, 2026, the Company, Enrichment Corp. and the other defendants filed their motion to dismiss the Dunham Complaint, which motion is now pending. The Company and Enrichment Corp. believe that their operations at the Portsmouth GDP site were fully in compliance with the NRC’s regulations. Further, the Company and Enrichment Corp. believe that any such liability should be indemnified by DOE under the Price-Anderson Act. The Company and Enrichment Corp. have provided notifications to the DOE required to invoke indemnification under the Price-Anderson Act and other contractual provisions.</w:t>
      </w:r>
    </w:p>
    <w:p>
      <w:pPr>
        <w:spacing w:after="0" w:line="164"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6"/>
          <w:szCs w:val="16"/>
          <w:color w:val="auto"/>
        </w:rPr>
        <w:t>Centrus is subject to various legal proceedings and claims, either asserted or unasserted, which arise in the ordinary course of business. While the outcome of these claims cannot be predicted with certainty, Centrus does not believe that the outcome of any of these legal matters, individually and in the aggregate, will have a material adverse effect on its cash flows, results of operations, or consolidated financial condition.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SEGMENT INFORMATION</w:t>
      </w:r>
    </w:p>
    <w:p>
      <w:pPr>
        <w:spacing w:after="0" w:line="200"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Gross profit is the Company’s measure for segment reporting. Total revenues for each of the Company’s business segments in the following tables exclude intersegment sales as these activities are eliminated in consolidation and thus are not included in management’s evaluation of performance of each segment. Sales between segments are recorded as if the sales were to third parties, that is, at contractual or market prices at the time of the sale. Such intercompany operating income is eliminated in consolidation, so that the Company’s total sales and total operating income reflect only those transactions with external customers. Refer to Note 2</w:t>
      </w:r>
      <w:r>
        <w:rPr>
          <w:rFonts w:ascii="Times New Roman" w:cs="Times New Roman" w:eastAsia="Times New Roman" w:hAnsi="Times New Roman"/>
          <w:sz w:val="16"/>
          <w:szCs w:val="16"/>
          <w:i w:val="1"/>
          <w:iCs w:val="1"/>
          <w:color w:val="auto"/>
        </w:rPr>
        <w:t>, Revenue and Contracts with Customers,</w:t>
      </w:r>
      <w:r>
        <w:rPr>
          <w:rFonts w:ascii="Times New Roman" w:cs="Times New Roman" w:eastAsia="Times New Roman" w:hAnsi="Times New Roman"/>
          <w:sz w:val="16"/>
          <w:szCs w:val="16"/>
          <w:color w:val="auto"/>
        </w:rPr>
        <w:t xml:space="preserve"> for additional details on revenue for each segment. The following table presents the Company’s segment information (in millions):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28" w:name="page29"/>
    <w:bookmarkEnd w:id="28"/>
    <w:p>
      <w:pPr>
        <w:ind w:left="6620"/>
        <w:spacing w:after="0"/>
        <w:rPr>
          <w:sz w:val="20"/>
          <w:szCs w:val="20"/>
          <w:color w:val="auto"/>
        </w:rPr>
      </w:pPr>
      <w:r>
        <w:rPr>
          <w:rFonts w:ascii="Times New Roman" w:cs="Times New Roman" w:eastAsia="Times New Roman" w:hAnsi="Times New Roman"/>
          <w:sz w:val="13"/>
          <w:szCs w:val="13"/>
          <w:b w:val="1"/>
          <w:bCs w:val="1"/>
          <w:color w:val="auto"/>
        </w:rPr>
        <w:t>Three Months Ended</w:t>
      </w:r>
    </w:p>
    <w:tbl>
      <w:tblPr>
        <w:tblLayout w:type="fixed"/>
        <w:tblInd w:w="38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940" w:type="dxa"/>
            <w:vAlign w:val="bottom"/>
            <w:tcBorders>
              <w:bottom w:val="single" w:sz="8" w:color="auto"/>
            </w:tcBorders>
          </w:tcPr>
          <w:p>
            <w:pPr>
              <w:spacing w:after="0"/>
              <w:rPr>
                <w:sz w:val="15"/>
                <w:szCs w:val="15"/>
                <w:color w:val="auto"/>
              </w:rPr>
            </w:pPr>
          </w:p>
        </w:tc>
      </w:tr>
      <w:tr>
        <w:trPr>
          <w:trHeight w:val="168"/>
        </w:trPr>
        <w:tc>
          <w:tcPr>
            <w:tcW w:w="5480" w:type="dxa"/>
            <w:vAlign w:val="bottom"/>
          </w:tcPr>
          <w:p>
            <w:pPr>
              <w:spacing w:after="0"/>
              <w:rPr>
                <w:sz w:val="14"/>
                <w:szCs w:val="14"/>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2026</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60"/>
        </w:trPr>
        <w:tc>
          <w:tcPr>
            <w:tcW w:w="5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LEU segment:</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7"/>
        </w:trPr>
        <w:tc>
          <w:tcPr>
            <w:tcW w:w="5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Separative work units</w:t>
            </w: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60" w:type="dxa"/>
            <w:vAlign w:val="bottom"/>
          </w:tcPr>
          <w:p>
            <w:pPr>
              <w:spacing w:after="0"/>
              <w:rPr>
                <w:sz w:val="15"/>
                <w:szCs w:val="15"/>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r>
      <w:tr>
        <w:trPr>
          <w:trHeight w:val="184"/>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Uranium</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9"/>
        </w:trPr>
        <w:tc>
          <w:tcPr>
            <w:tcW w:w="5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Intersegment revenue, eliminated on consolidation</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51.4</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51.3</w:t>
            </w:r>
          </w:p>
        </w:tc>
      </w:tr>
      <w:tr>
        <w:trPr>
          <w:trHeight w:val="177"/>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Technical Solutions segment</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r>
      <w:tr>
        <w:trPr>
          <w:trHeight w:val="174"/>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83.5</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73.1</w:t>
            </w:r>
          </w:p>
        </w:tc>
      </w:tr>
      <w:tr>
        <w:trPr>
          <w:trHeight w:val="179"/>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Elimination of intersegment revenue</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5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76.7</w:t>
            </w:r>
          </w:p>
        </w:tc>
        <w:tc>
          <w:tcPr>
            <w:tcW w:w="1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73.1</w:t>
            </w:r>
          </w:p>
        </w:tc>
      </w:tr>
      <w:tr>
        <w:trPr>
          <w:trHeight w:val="28"/>
        </w:trPr>
        <w:tc>
          <w:tcPr>
            <w:tcW w:w="5480" w:type="dxa"/>
            <w:vAlign w:val="bottom"/>
            <w:tcBorders>
              <w:top w:val="single" w:sz="8" w:color="CCEEFF"/>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44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360" w:type="dxa"/>
            <w:vAlign w:val="bottom"/>
            <w:tcBorders>
              <w:top w:val="single" w:sz="8" w:color="CCEEFF"/>
              <w:bottom w:val="single" w:sz="8" w:color="auto"/>
            </w:tcBorders>
          </w:tcPr>
          <w:p>
            <w:pPr>
              <w:spacing w:after="0"/>
              <w:rPr>
                <w:sz w:val="2"/>
                <w:szCs w:val="2"/>
                <w:color w:val="auto"/>
              </w:rPr>
            </w:pPr>
          </w:p>
        </w:tc>
        <w:tc>
          <w:tcPr>
            <w:tcW w:w="940" w:type="dxa"/>
            <w:vAlign w:val="bottom"/>
            <w:tcBorders>
              <w:top w:val="single" w:sz="8" w:color="CCEEFF"/>
              <w:bottom w:val="single" w:sz="8" w:color="auto"/>
            </w:tcBorders>
          </w:tcPr>
          <w:p>
            <w:pPr>
              <w:spacing w:after="0"/>
              <w:rPr>
                <w:sz w:val="2"/>
                <w:szCs w:val="2"/>
                <w:color w:val="auto"/>
              </w:rPr>
            </w:pPr>
          </w:p>
        </w:tc>
      </w:tr>
      <w:tr>
        <w:trPr>
          <w:trHeight w:val="18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Cost of Sales</w:t>
            </w: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7"/>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LEU segment:</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4"/>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Separative work units and uranium</w:t>
            </w: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r>
      <w:tr>
        <w:trPr>
          <w:trHeight w:val="177"/>
        </w:trPr>
        <w:tc>
          <w:tcPr>
            <w:tcW w:w="5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Intersegment cost of sales, eliminated on consolidation</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21.3</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20.1</w:t>
            </w:r>
          </w:p>
        </w:tc>
      </w:tr>
      <w:tr>
        <w:trPr>
          <w:trHeight w:val="177"/>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Technical Solutions segment</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w:t>
            </w:r>
          </w:p>
        </w:tc>
      </w:tr>
      <w:tr>
        <w:trPr>
          <w:trHeight w:val="174"/>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49.8</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40.2</w:t>
            </w:r>
          </w:p>
        </w:tc>
      </w:tr>
      <w:tr>
        <w:trPr>
          <w:trHeight w:val="177"/>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Elimination of intersegment cost of sales</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 cost of sales</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45.2</w:t>
            </w:r>
          </w:p>
        </w:tc>
        <w:tc>
          <w:tcPr>
            <w:tcW w:w="1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40.2</w:t>
            </w:r>
          </w:p>
        </w:tc>
      </w:tr>
      <w:tr>
        <w:trPr>
          <w:trHeight w:val="28"/>
        </w:trPr>
        <w:tc>
          <w:tcPr>
            <w:tcW w:w="5480" w:type="dxa"/>
            <w:vAlign w:val="bottom"/>
            <w:tcBorders>
              <w:top w:val="single" w:sz="8" w:color="CCEEFF"/>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44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360" w:type="dxa"/>
            <w:vAlign w:val="bottom"/>
            <w:tcBorders>
              <w:top w:val="single" w:sz="8" w:color="CCEEFF"/>
              <w:bottom w:val="single" w:sz="8" w:color="auto"/>
            </w:tcBorders>
          </w:tcPr>
          <w:p>
            <w:pPr>
              <w:spacing w:after="0"/>
              <w:rPr>
                <w:sz w:val="2"/>
                <w:szCs w:val="2"/>
                <w:color w:val="auto"/>
              </w:rPr>
            </w:pPr>
          </w:p>
        </w:tc>
        <w:tc>
          <w:tcPr>
            <w:tcW w:w="940" w:type="dxa"/>
            <w:vAlign w:val="bottom"/>
            <w:tcBorders>
              <w:top w:val="single" w:sz="8" w:color="CCEEFF"/>
              <w:bottom w:val="single" w:sz="8" w:color="auto"/>
            </w:tcBorders>
          </w:tcPr>
          <w:p>
            <w:pPr>
              <w:spacing w:after="0"/>
              <w:rPr>
                <w:sz w:val="2"/>
                <w:szCs w:val="2"/>
                <w:color w:val="auto"/>
              </w:rPr>
            </w:pPr>
          </w:p>
        </w:tc>
      </w:tr>
      <w:tr>
        <w:trPr>
          <w:trHeight w:val="18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Segment Gross Profit</w:t>
            </w: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7"/>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LEU segment:</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4"/>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LEU segment</w:t>
            </w: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w:t>
            </w:r>
          </w:p>
        </w:tc>
      </w:tr>
      <w:tr>
        <w:trPr>
          <w:trHeight w:val="177"/>
        </w:trPr>
        <w:tc>
          <w:tcPr>
            <w:tcW w:w="5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Intersegment gross profit (loss), eliminated on consolidation</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30.1</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31.2</w:t>
            </w:r>
          </w:p>
        </w:tc>
      </w:tr>
      <w:tr>
        <w:trPr>
          <w:trHeight w:val="177"/>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Technical Solutions segment:</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4"/>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Technical Solutions</w:t>
            </w:r>
          </w:p>
        </w:tc>
        <w:tc>
          <w:tcPr>
            <w:tcW w:w="8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0"/>
        </w:trPr>
        <w:tc>
          <w:tcPr>
            <w:tcW w:w="54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r>
      <w:tr>
        <w:trPr>
          <w:trHeight w:val="17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Elimination of intersegment gross profit (loss)</w:t>
            </w:r>
          </w:p>
        </w:tc>
        <w:tc>
          <w:tcPr>
            <w:tcW w:w="8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548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88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31.5</w:t>
            </w:r>
          </w:p>
        </w:tc>
        <w:tc>
          <w:tcPr>
            <w:tcW w:w="160" w:type="dxa"/>
            <w:vAlign w:val="bottom"/>
          </w:tcPr>
          <w:p>
            <w:pPr>
              <w:spacing w:after="0"/>
              <w:rPr>
                <w:sz w:val="15"/>
                <w:szCs w:val="15"/>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32.9</w:t>
            </w:r>
          </w:p>
        </w:tc>
      </w:tr>
      <w:tr>
        <w:trPr>
          <w:trHeight w:val="60"/>
        </w:trPr>
        <w:tc>
          <w:tcPr>
            <w:tcW w:w="54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79"/>
        </w:trPr>
        <w:tc>
          <w:tcPr>
            <w:tcW w:w="5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Reconciliation to Income before income taxes</w:t>
            </w:r>
          </w:p>
        </w:tc>
        <w:tc>
          <w:tcPr>
            <w:tcW w:w="88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r>
      <w:tr>
        <w:trPr>
          <w:trHeight w:val="18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Advanced technology costs</w:t>
            </w: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7"/>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84"/>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7"/>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Nonoperating components of net periodic benefit loss</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r>
      <w:tr>
        <w:trPr>
          <w:trHeight w:val="184"/>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77"/>
        </w:trPr>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84"/>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Extinguishment of long-term debt</w:t>
            </w:r>
          </w:p>
        </w:tc>
        <w:tc>
          <w:tcPr>
            <w:tcW w:w="8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77"/>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expense, net</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99"/>
        </w:trPr>
        <w:tc>
          <w:tcPr>
            <w:tcW w:w="5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w:t>
            </w:r>
          </w:p>
        </w:tc>
        <w:tc>
          <w:tcPr>
            <w:tcW w:w="1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857" w:right="1440" w:bottom="1440" w:gutter="0" w:footer="0" w:header="0"/>
        </w:sectPr>
      </w:pPr>
    </w:p>
    <w:bookmarkStart w:id="29" w:name="page30"/>
    <w:bookmarkEnd w:id="29"/>
    <w:p>
      <w:pPr>
        <w:ind w:firstLine="191"/>
        <w:spacing w:after="0" w:line="292" w:lineRule="auto"/>
        <w:rPr>
          <w:sz w:val="20"/>
          <w:szCs w:val="20"/>
          <w:color w:val="auto"/>
        </w:rPr>
      </w:pPr>
      <w:r>
        <w:rPr>
          <w:rFonts w:ascii="Times New Roman" w:cs="Times New Roman" w:eastAsia="Times New Roman" w:hAnsi="Times New Roman"/>
          <w:sz w:val="14"/>
          <w:szCs w:val="14"/>
          <w:color w:val="auto"/>
        </w:rPr>
        <w:t>The Company’s total assets are not presented for each reportable segment as they are not reviewed by, nor otherwise regularly provided to the chief operating decision maker (“CODM”), the CEO. The CODM uses revenue, cost of sales and gross profit to allocate resources (including personnel and financial or capital resources) for each segment, predominantly in the annual budget and quarterly financial review and forecasting process. The CODM considers budget-to-actual variances on a quarterly basis using revenue, cost of sales and gross profit when making decisions about allocating capital and personnel to the segments. Centrus’ long-term or long-lived assets, which include property, plant and equipment and other assets reported on the Condensed Consolidated Balance Sheet, were located in the United States as of March 31, 2026 and December 31, 2025.</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Revenue from Major Customers (10% or More of Total Revenue)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 the three months ended March 31, 2026, three customers in the LEU segment individually represented $18.5 million, $14.2 million, and $8.8 million of revenue,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customer in the Technical Solutions segment individually represented $31.5 million of revenue in the three months ended March 31, 2026.</w:t>
      </w:r>
    </w:p>
    <w:p>
      <w:pPr>
        <w:spacing w:after="0" w:line="180" w:lineRule="exact"/>
        <w:rPr>
          <w:sz w:val="20"/>
          <w:szCs w:val="20"/>
          <w:color w:val="auto"/>
        </w:rPr>
      </w:pPr>
    </w:p>
    <w:p>
      <w:pPr>
        <w:ind w:right="280" w:firstLine="191"/>
        <w:spacing w:after="0" w:line="259" w:lineRule="auto"/>
        <w:rPr>
          <w:sz w:val="20"/>
          <w:szCs w:val="20"/>
          <w:color w:val="auto"/>
        </w:rPr>
      </w:pPr>
      <w:r>
        <w:rPr>
          <w:rFonts w:ascii="Times New Roman" w:cs="Times New Roman" w:eastAsia="Times New Roman" w:hAnsi="Times New Roman"/>
          <w:sz w:val="16"/>
          <w:szCs w:val="16"/>
          <w:color w:val="auto"/>
        </w:rPr>
        <w:t>In the three months ended March 31, 2025, one customer in the LEU segment individually represented $47.6 million of revenue and one customer in the Technical Solutions segment individually represented $21.7 million of revenue.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GOVERNMENT INCENTIVES</w:t>
      </w:r>
    </w:p>
    <w:p>
      <w:pPr>
        <w:spacing w:after="0" w:line="200" w:lineRule="exact"/>
        <w:rPr>
          <w:sz w:val="20"/>
          <w:szCs w:val="20"/>
          <w:color w:val="auto"/>
        </w:rPr>
      </w:pPr>
    </w:p>
    <w:p>
      <w:pPr>
        <w:ind w:right="140" w:firstLine="191"/>
        <w:spacing w:after="0" w:line="307" w:lineRule="auto"/>
        <w:rPr>
          <w:sz w:val="20"/>
          <w:szCs w:val="20"/>
          <w:color w:val="auto"/>
        </w:rPr>
      </w:pPr>
      <w:r>
        <w:rPr>
          <w:rFonts w:ascii="Times New Roman" w:cs="Times New Roman" w:eastAsia="Times New Roman" w:hAnsi="Times New Roman"/>
          <w:sz w:val="14"/>
          <w:szCs w:val="14"/>
          <w:color w:val="auto"/>
        </w:rPr>
        <w:t>On January 5, 2026, the DOE announced that Centrus subsidiary, ACO, was awarded a $900.0 million task order to expand its uranium enrichment facility in Piketon, Ohio, to include commercial-scale production of HALEU. The award also includes options, at the DOE’s discretion, for up to $170.0 million to produce and deliver HALEU to the DOE. The task order is subject to negotiation of a definitive agreement and there are no guarantees about whether or when funding by the DOE for such expansion would be awarded.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SUBSEQUENT EVENT</w:t>
      </w:r>
    </w:p>
    <w:p>
      <w:pPr>
        <w:spacing w:after="0" w:line="200" w:lineRule="exact"/>
        <w:rPr>
          <w:sz w:val="20"/>
          <w:szCs w:val="20"/>
          <w:color w:val="auto"/>
        </w:rPr>
      </w:pPr>
    </w:p>
    <w:p>
      <w:pPr>
        <w:ind w:right="400" w:firstLine="191"/>
        <w:spacing w:after="0" w:line="273" w:lineRule="auto"/>
        <w:rPr>
          <w:sz w:val="20"/>
          <w:szCs w:val="20"/>
          <w:color w:val="auto"/>
        </w:rPr>
      </w:pPr>
      <w:r>
        <w:rPr>
          <w:rFonts w:ascii="Times New Roman" w:cs="Times New Roman" w:eastAsia="Times New Roman" w:hAnsi="Times New Roman"/>
          <w:sz w:val="16"/>
          <w:szCs w:val="16"/>
          <w:color w:val="auto"/>
        </w:rPr>
        <w:t>In April 2026, Centrus announced that it has selected Geiger Brothers, Inc. (“Geiger Brothers”) as the construction contractor for the expansion of our uranium enrichment capacity in Piketon, Ohio. Fluor is serving as the project’s EPC contractor, while Geiger Brothers will conduct the on-the-ground construction work in Ohio.</w:t>
      </w:r>
    </w:p>
    <w:p>
      <w:pPr>
        <w:spacing w:after="0" w:line="144" w:lineRule="exact"/>
        <w:rPr>
          <w:sz w:val="20"/>
          <w:szCs w:val="20"/>
          <w:color w:val="auto"/>
        </w:rPr>
      </w:pPr>
    </w:p>
    <w:p>
      <w:pPr>
        <w:ind w:right="220" w:firstLine="191"/>
        <w:spacing w:after="0" w:line="273" w:lineRule="auto"/>
        <w:rPr>
          <w:sz w:val="20"/>
          <w:szCs w:val="20"/>
          <w:color w:val="auto"/>
        </w:rPr>
      </w:pPr>
      <w:r>
        <w:rPr>
          <w:rFonts w:ascii="Times New Roman" w:cs="Times New Roman" w:eastAsia="Times New Roman" w:hAnsi="Times New Roman"/>
          <w:sz w:val="16"/>
          <w:szCs w:val="16"/>
          <w:color w:val="auto"/>
        </w:rPr>
        <w:t>The contract provides for compensation on a time and materials basis at agreed labor rates with a performance period through January 2031. The total price paid to the Geiger Brothers will depend on the scope of the services authorized by the Company in accordance with the terms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 xml:space="preserve">Item 2. </w:t>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198" w:lineRule="exact"/>
        <w:rPr>
          <w:sz w:val="20"/>
          <w:szCs w:val="20"/>
          <w:color w:val="auto"/>
        </w:rPr>
      </w:pPr>
    </w:p>
    <w:p>
      <w:pPr>
        <w:ind w:right="320" w:firstLine="191"/>
        <w:spacing w:after="0" w:line="262" w:lineRule="auto"/>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and is qualified in its entirety by reference to, the unaudited Condensed Consolidated Financial Statements and related notes appearing elsewhere in this report.</w:t>
      </w:r>
    </w:p>
    <w:p>
      <w:pPr>
        <w:spacing w:after="0" w:line="161" w:lineRule="exact"/>
        <w:rPr>
          <w:sz w:val="20"/>
          <w:szCs w:val="20"/>
          <w:color w:val="auto"/>
        </w:rPr>
      </w:pPr>
    </w:p>
    <w:p>
      <w:pPr>
        <w:jc w:val="both"/>
        <w:ind w:right="20" w:firstLine="191"/>
        <w:spacing w:after="0" w:line="255" w:lineRule="auto"/>
        <w:rPr>
          <w:sz w:val="20"/>
          <w:szCs w:val="20"/>
          <w:color w:val="auto"/>
        </w:rPr>
      </w:pPr>
      <w:r>
        <w:rPr>
          <w:rFonts w:ascii="Times New Roman" w:cs="Times New Roman" w:eastAsia="Times New Roman" w:hAnsi="Times New Roman"/>
          <w:sz w:val="16"/>
          <w:szCs w:val="16"/>
          <w:i w:val="1"/>
          <w:iCs w:val="1"/>
          <w:color w:val="auto"/>
        </w:rPr>
        <w:t>This discussion contains forward-looking statements that involve risks and uncertainties. Actual results could differ significantly from the results discussed in the forward-looking statements particularly in light of the economic, social, and market uncertainty created by, among other things, the war in Ukraine and changes in laws, tariffs or other government measures. See “Forward-Looking Statements” at the beginning of this Quarterly Report on Form 10-Q.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89" w:lineRule="exact"/>
        <w:rPr>
          <w:sz w:val="20"/>
          <w:szCs w:val="20"/>
          <w:color w:val="auto"/>
        </w:rPr>
      </w:pPr>
    </w:p>
    <w:p>
      <w:pPr>
        <w:ind w:right="20" w:firstLine="191"/>
        <w:spacing w:after="0" w:line="254" w:lineRule="auto"/>
        <w:rPr>
          <w:sz w:val="20"/>
          <w:szCs w:val="20"/>
          <w:color w:val="auto"/>
        </w:rPr>
      </w:pPr>
      <w:r>
        <w:rPr>
          <w:rFonts w:ascii="Times New Roman" w:cs="Times New Roman" w:eastAsia="Times New Roman" w:hAnsi="Times New Roman"/>
          <w:sz w:val="16"/>
          <w:szCs w:val="16"/>
          <w:color w:val="auto"/>
        </w:rPr>
        <w:t>Centrus Energy Corp., a Delaware corporation (“Centrus,” the “Company,” “we” or “us”), is a trusted supplier of nuclear fuel components for the nuclear power industry, which provides a reliable source of carbon free energy and provides enrichment and technical services for public and private customers. References to “Centrus,” the “Company”, “our”, or “we” include Centrus Energy Corp. and its wholly owned subsidiaries as well as the predecessor to Centrus, unless the context indicates otherwise.</w:t>
      </w:r>
    </w:p>
    <w:p>
      <w:pPr>
        <w:spacing w:after="0" w:line="169" w:lineRule="exact"/>
        <w:rPr>
          <w:sz w:val="20"/>
          <w:szCs w:val="20"/>
          <w:color w:val="auto"/>
        </w:rPr>
      </w:pPr>
    </w:p>
    <w:p>
      <w:pPr>
        <w:jc w:val="both"/>
        <w:ind w:right="260" w:firstLine="191"/>
        <w:spacing w:after="0" w:line="254" w:lineRule="auto"/>
        <w:rPr>
          <w:sz w:val="20"/>
          <w:szCs w:val="20"/>
          <w:color w:val="auto"/>
        </w:rPr>
      </w:pPr>
      <w:r>
        <w:rPr>
          <w:rFonts w:ascii="Times New Roman" w:cs="Times New Roman" w:eastAsia="Times New Roman" w:hAnsi="Times New Roman"/>
          <w:sz w:val="16"/>
          <w:szCs w:val="16"/>
          <w:color w:val="auto"/>
        </w:rPr>
        <w:t>Centrus operates two business segments: (a) LEU, which supplies various components of nuclear fuel to commercial customers from our global network of suppliers, and (b) Technical Solutions, which provides advanced uranium enrichment for the nuclear industry and the U.S. government and advanced manufacturing and other technical services to government and private sector customers.</w:t>
      </w:r>
    </w:p>
    <w:p>
      <w:pPr>
        <w:spacing w:after="0" w:line="169"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Our LEU segment provides most of the Company’s revenue and involves the sale of enriched uranium,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spacing w:after="0" w:line="161" w:lineRule="exact"/>
        <w:rPr>
          <w:sz w:val="20"/>
          <w:szCs w:val="20"/>
          <w:color w:val="auto"/>
        </w:rPr>
      </w:pPr>
    </w:p>
    <w:p>
      <w:pPr>
        <w:jc w:val="both"/>
        <w:ind w:right="40" w:firstLine="191"/>
        <w:spacing w:after="0" w:line="254" w:lineRule="auto"/>
        <w:rPr>
          <w:sz w:val="20"/>
          <w:szCs w:val="20"/>
          <w:color w:val="auto"/>
        </w:rPr>
      </w:pPr>
      <w:r>
        <w:rPr>
          <w:rFonts w:ascii="Times New Roman" w:cs="Times New Roman" w:eastAsia="Times New Roman" w:hAnsi="Times New Roman"/>
          <w:sz w:val="16"/>
          <w:szCs w:val="16"/>
          <w:color w:val="auto"/>
        </w:rPr>
        <w:t>LEU is a critical component in the production of nuclear fuel for reactors that produce electricity. We supply LEU and its components to both domestic and international utilities for use in nuclear reactors worldwide. We provide LEU from multiple sources, including medium- and long-term supply contracts, spot purchases and our inventory. As a long-term supplier of LEU to our customers, our objective is to provide value through the reliability and diversity of our supply sources.</w:t>
      </w:r>
    </w:p>
    <w:p>
      <w:pPr>
        <w:spacing w:after="0" w:line="169" w:lineRule="exact"/>
        <w:rPr>
          <w:sz w:val="20"/>
          <w:szCs w:val="20"/>
          <w:color w:val="auto"/>
        </w:rPr>
      </w:pPr>
    </w:p>
    <w:p>
      <w:pPr>
        <w:ind w:right="180" w:firstLine="191"/>
        <w:spacing w:after="0" w:line="248" w:lineRule="auto"/>
        <w:rPr>
          <w:sz w:val="20"/>
          <w:szCs w:val="20"/>
          <w:color w:val="auto"/>
        </w:rPr>
      </w:pPr>
      <w:r>
        <w:rPr>
          <w:rFonts w:ascii="Times New Roman" w:cs="Times New Roman" w:eastAsia="Times New Roman" w:hAnsi="Times New Roman"/>
          <w:sz w:val="16"/>
          <w:szCs w:val="16"/>
          <w:color w:val="auto"/>
        </w:rPr>
        <w:t>Published spot price indicators for SWU reached previous historic highs in April 2009 at $163 per SWU. In the years following the 2011 Fukushima accident in Japan, spot prices declined more than 75%, bottoming out in August 2018 at $34 per SWU. This was followed by a period of price increases, reaching $200 per SWU by December 31, 2025, which surpassed the previous historic high. As of March 31, 2026, spot prices remained steady at $200 per SWU. This represents an increase of 488% over the 2018 historic low. This surge in the SWU spot price beginning in 2022 has been driven primarily by uncertainty created as a result of the war in Ukraine, coupled with growing interest in nuclear power as a source of reliable carbon-free energy. The contemplation of the imposition of tariffs on LEU, if ultimately imposed, may put additional upward pressure on the price of SWU.</w:t>
      </w:r>
    </w:p>
    <w:p>
      <w:pPr>
        <w:spacing w:after="0" w:line="164" w:lineRule="exact"/>
        <w:rPr>
          <w:sz w:val="20"/>
          <w:szCs w:val="20"/>
          <w:color w:val="auto"/>
        </w:rPr>
      </w:pPr>
    </w:p>
    <w:p>
      <w:pPr>
        <w:jc w:val="both"/>
        <w:ind w:right="100" w:firstLine="191"/>
        <w:spacing w:after="0" w:line="261" w:lineRule="auto"/>
        <w:rPr>
          <w:sz w:val="20"/>
          <w:szCs w:val="20"/>
          <w:color w:val="auto"/>
        </w:rPr>
      </w:pPr>
      <w:r>
        <w:rPr>
          <w:rFonts w:ascii="Times New Roman" w:cs="Times New Roman" w:eastAsia="Times New Roman" w:hAnsi="Times New Roman"/>
          <w:sz w:val="16"/>
          <w:szCs w:val="16"/>
          <w:color w:val="auto"/>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1" w:name="page32"/>
    <w:bookmarkEnd w:id="31"/>
    <w:p>
      <w:pPr>
        <w:ind w:right="100" w:firstLine="191"/>
        <w:spacing w:after="0" w:line="307" w:lineRule="auto"/>
        <w:rPr>
          <w:sz w:val="20"/>
          <w:szCs w:val="20"/>
          <w:color w:val="auto"/>
        </w:rPr>
      </w:pPr>
      <w:r>
        <w:rPr>
          <w:rFonts w:ascii="Times New Roman" w:cs="Times New Roman" w:eastAsia="Times New Roman" w:hAnsi="Times New Roman"/>
          <w:sz w:val="14"/>
          <w:szCs w:val="14"/>
          <w:color w:val="auto"/>
        </w:rPr>
        <w:t>Changes in the supply-demand balance and in the competitive landscape arising from the war in Ukraine or the imposition of tariffs, may affect pricing trends, change customer spending patterns, and create additional uncertainty in the uranium market. At the same time, uncertainty remains about future demand for nuclear power generation. To address such changes and uncertainty, we continue to evaluate opportunities to grow our business organically or through acquisitions and other strategic transactions.</w:t>
      </w:r>
    </w:p>
    <w:p>
      <w:pPr>
        <w:spacing w:after="0" w:line="136"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Our Technical Solutions segment is focused on uranium enrichment for the nuclear industry and the U.S. government and advanced manufacturing, engineering and other technical services to government and private sector customers. Under a contract with the DOE, our Technical Solutions segment is operating uranium enrichment capacity for HALEU production, and other capabilities necessary for production of advanced nuclear fuel to meet the evolving needs of the global nuclear industry and the U.S. government. We are also leveraging our unique technical expertise, operational experience, and specialized facilities to expand and diversify our business beyond uranium enrichment, offering new services to existing and new customers in complementary markets.</w:t>
      </w:r>
    </w:p>
    <w:p>
      <w:pPr>
        <w:spacing w:after="0" w:line="174" w:lineRule="exact"/>
        <w:rPr>
          <w:sz w:val="20"/>
          <w:szCs w:val="20"/>
          <w:color w:val="auto"/>
        </w:rPr>
      </w:pPr>
    </w:p>
    <w:p>
      <w:pPr>
        <w:ind w:right="160" w:firstLine="191"/>
        <w:spacing w:after="0" w:line="252" w:lineRule="auto"/>
        <w:rPr>
          <w:sz w:val="20"/>
          <w:szCs w:val="20"/>
          <w:color w:val="auto"/>
        </w:rPr>
      </w:pPr>
      <w:r>
        <w:rPr>
          <w:rFonts w:ascii="Times New Roman" w:cs="Times New Roman" w:eastAsia="Times New Roman" w:hAnsi="Times New Roman"/>
          <w:sz w:val="16"/>
          <w:szCs w:val="16"/>
          <w:color w:val="auto"/>
        </w:rPr>
        <w:t>Our Technical Solutions segment is committed to the restoration of America’s domestic uranium enrichment production capabilities for LEU and HALEU, in order to play a critical role in meeting U.S. national security and energy security requirements and advancing America’s clean energy, energy security, and national security objectives. Our Technical Solutions segment is also focused on repairing broken and vulnerable supply chains, providing clean energy jobs, and supporting the communities in which we operate. Our goal is to deliver major components of the next-generation nuclear fuels that will provide reliable carbon-free power around the world.</w:t>
      </w:r>
    </w:p>
    <w:p>
      <w:pPr>
        <w:spacing w:after="0" w:line="161" w:lineRule="exact"/>
        <w:rPr>
          <w:sz w:val="20"/>
          <w:szCs w:val="20"/>
          <w:color w:val="auto"/>
        </w:rPr>
      </w:pPr>
    </w:p>
    <w:p>
      <w:pPr>
        <w:ind w:right="60" w:firstLine="191"/>
        <w:spacing w:after="0" w:line="252" w:lineRule="auto"/>
        <w:rPr>
          <w:sz w:val="20"/>
          <w:szCs w:val="20"/>
          <w:color w:val="auto"/>
        </w:rPr>
      </w:pPr>
      <w:r>
        <w:rPr>
          <w:rFonts w:ascii="Times New Roman" w:cs="Times New Roman" w:eastAsia="Times New Roman" w:hAnsi="Times New Roman"/>
          <w:sz w:val="16"/>
          <w:szCs w:val="16"/>
          <w:color w:val="auto"/>
        </w:rPr>
        <w:t>The Company’s work on HALEU began under the HALEU Demonstration Contract, signed with the DOE in 2019 to construct a cascade of 16 AC100M centrifuges in Piketon, Ohio to demonstrate HALEU production. Following the HALEU Demonstration Contract, in November 2022, the DOE awarded the HALEU Operation Contract to the Company with an initial base contract value of approximately $150.0 million in two phases through 2024, with three optional periods for up to nine additional years of production beyond the base contract. Those options are at the DOE’s sole discretion and subject to the availability of Congressional appropriations.</w:t>
      </w:r>
    </w:p>
    <w:p>
      <w:pPr>
        <w:spacing w:after="0" w:line="172"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In November 2023, the Company announced that it made its first contractual delivery of HALEU to the DOE, completing Phase 1 of the HALEU Operation Contract. As a result of delays in obtaining 5B Cylinders DOE is contractually obligated to provide under the HALEU Operation Contract, Phase 2 of the HALEU Operation Contract was extended through June 2025, when Centrus contractually delivered the Phase 2 production target of 900 kilograms of HALEU to DOE, completing Phase 2. The fee for the Phase 2 period of performance that was extended beyond November 30, 2024 was not definitized and is subject to negotiation.</w:t>
      </w:r>
    </w:p>
    <w:p>
      <w:pPr>
        <w:spacing w:after="0" w:line="176" w:lineRule="exact"/>
        <w:rPr>
          <w:sz w:val="20"/>
          <w:szCs w:val="20"/>
          <w:color w:val="auto"/>
        </w:rPr>
      </w:pPr>
    </w:p>
    <w:p>
      <w:pPr>
        <w:jc w:val="both"/>
        <w:ind w:right="20" w:firstLine="191"/>
        <w:spacing w:after="0" w:line="248" w:lineRule="auto"/>
        <w:rPr>
          <w:sz w:val="20"/>
          <w:szCs w:val="20"/>
          <w:color w:val="auto"/>
        </w:rPr>
      </w:pPr>
      <w:r>
        <w:rPr>
          <w:rFonts w:ascii="Times New Roman" w:cs="Times New Roman" w:eastAsia="Times New Roman" w:hAnsi="Times New Roman"/>
          <w:sz w:val="16"/>
          <w:szCs w:val="16"/>
          <w:color w:val="auto"/>
        </w:rPr>
        <w:t>On June 17, 2025, the DOE amended the HALEU Operation Contract to divide the first three-year option period into a first option period of one year (“Option 1a”) and a second option period of two years (“Option 1b”). The amendment established a target cost and fee for Option 1a of approximately $99.3 million and $8.7 million, respectively, and a target cost and fee for Option 1b of $163.5 million and $15.2 million, respectively. In conjunction with the amendment, the DOE exercised Option 1a — launching Phase 3 of the contract effective June 30, 2025, with a period of performance through June 30, 2026. As of March 31, 2026, Option 1a is funded for the contract value of $108.2 million. The current fiscal year 2027 DOE budget proposal does not include funding for the operation of this cascade.</w:t>
      </w:r>
    </w:p>
    <w:p>
      <w:pPr>
        <w:spacing w:after="0" w:line="174" w:lineRule="exact"/>
        <w:rPr>
          <w:sz w:val="20"/>
          <w:szCs w:val="20"/>
          <w:color w:val="auto"/>
        </w:rPr>
      </w:pPr>
    </w:p>
    <w:p>
      <w:pPr>
        <w:ind w:right="140" w:firstLine="191"/>
        <w:spacing w:after="0" w:line="252" w:lineRule="auto"/>
        <w:rPr>
          <w:sz w:val="20"/>
          <w:szCs w:val="20"/>
          <w:color w:val="auto"/>
        </w:rPr>
      </w:pPr>
      <w:r>
        <w:rPr>
          <w:rFonts w:ascii="Times New Roman" w:cs="Times New Roman" w:eastAsia="Times New Roman" w:hAnsi="Times New Roman"/>
          <w:sz w:val="16"/>
          <w:szCs w:val="16"/>
          <w:color w:val="auto"/>
        </w:rPr>
        <w:t>The Company does not have a contractual obligation to perform work in excess of the funding provided by the DOE. If the DOE does not commit to additional costs above the existing funding, the Company may incur material additional costs or losses in future periods that could have an adverse impact on its financial condition and liquidity. The DOE owns any HALEU produced from the demonstration cascade. Pursuant to an amendment to the Company’s lease for the Piketon facility, the DOE assumed all D&amp;D liabilities arising out of the HALEU Operation Contract.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32" w:name="page33"/>
    <w:bookmarkEnd w:id="32"/>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The DOE continues to pursue the availability of HALEU for the ARDP and for the advanced reactor market and the availability of domestically enriched uranium in a quantity that would be sufficient to address a supply disruption and gaps in domestic production and enrichment. Congress appropriated a total of approximately $3.4 billion to the DOE to jumpstart U.S. nuclear fuel production, including both LEU and HALEU enrichment. Based on this funding, the DOE issued a series of three RFPs covering HALEU production, HALEU deconversion, and LEU production. In late 2024, the DOE made initial selections under each of the RFPs. Centrus was among the awardees for all three RFPs under IDIQ structures (the HALEU Deconversion Contract, HALEU Production Contract, and the LEU Production Contract).</w:t>
      </w:r>
    </w:p>
    <w:p>
      <w:pPr>
        <w:spacing w:after="0" w:line="174" w:lineRule="exact"/>
        <w:rPr>
          <w:sz w:val="20"/>
          <w:szCs w:val="20"/>
          <w:color w:val="auto"/>
        </w:rPr>
      </w:pPr>
    </w:p>
    <w:p>
      <w:pPr>
        <w:ind w:right="20" w:firstLine="191"/>
        <w:spacing w:after="0" w:line="273" w:lineRule="auto"/>
        <w:rPr>
          <w:sz w:val="20"/>
          <w:szCs w:val="20"/>
          <w:color w:val="auto"/>
        </w:rPr>
      </w:pPr>
      <w:r>
        <w:rPr>
          <w:rFonts w:ascii="Times New Roman" w:cs="Times New Roman" w:eastAsia="Times New Roman" w:hAnsi="Times New Roman"/>
          <w:sz w:val="16"/>
          <w:szCs w:val="16"/>
          <w:color w:val="auto"/>
        </w:rPr>
        <w:t>Each of these IDIQ awards carries a $2.0 million contract minimum for each awardee and is subject to an overall contract ceiling covering all awardees. Under the IDIQ awards, the DOE can issue task orders to the awardees and then allocate available funding to those task orders.</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On January 5, 2026, the DOE announced one LEU and two HALEU task order awards to three companies for $900 million each, including one $900 million task order to</w:t>
      </w:r>
    </w:p>
    <w:p>
      <w:pPr>
        <w:spacing w:after="0" w:line="2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Centrus subsidiary, ACO, under the HALEU Production Contract. Centrus was not selected for a task order award under the LEU Production Contract. Centrus remains eligible to compete for any future LEU or HALEU task orders from the DOE should additional funding become available, but additional government funding has not been requested or announced.</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DOE has not yet issued any RFP under the HALEU Deconversion Contract. Centrus plans to compete for any future task orders under this contract.</w:t>
      </w:r>
    </w:p>
    <w:p>
      <w:pPr>
        <w:spacing w:after="0" w:line="187" w:lineRule="exact"/>
        <w:rPr>
          <w:sz w:val="20"/>
          <w:szCs w:val="20"/>
          <w:color w:val="auto"/>
        </w:rPr>
      </w:pPr>
    </w:p>
    <w:p>
      <w:pPr>
        <w:ind w:right="80" w:firstLine="191"/>
        <w:spacing w:after="0" w:line="252" w:lineRule="auto"/>
        <w:rPr>
          <w:sz w:val="20"/>
          <w:szCs w:val="20"/>
          <w:color w:val="auto"/>
        </w:rPr>
      </w:pPr>
      <w:r>
        <w:rPr>
          <w:rFonts w:ascii="Times New Roman" w:cs="Times New Roman" w:eastAsia="Times New Roman" w:hAnsi="Times New Roman"/>
          <w:sz w:val="16"/>
          <w:szCs w:val="16"/>
          <w:color w:val="auto"/>
        </w:rPr>
        <w:t>The $900 million task order award to ACO under the HALEU Production Contract calls for the Company to expand its uranium enrichment facility in Piketon, Ohio, to include commercial-scale production of HALEU. The award also includes options, exercisable at the DOE’s discretion, for up to an additional $170.0 million to produce and deliver HALEU to the DOE. The task order is subject to negotiation of a definitive agreement and there are no guarantees about whether or when funding by the DOE for such expansion would be awarded or whether we will successfully perform any awarded contract.</w:t>
      </w:r>
    </w:p>
    <w:p>
      <w:pPr>
        <w:spacing w:after="0" w:line="172" w:lineRule="exact"/>
        <w:rPr>
          <w:sz w:val="20"/>
          <w:szCs w:val="20"/>
          <w:color w:val="auto"/>
        </w:rPr>
      </w:pPr>
    </w:p>
    <w:p>
      <w:pPr>
        <w:ind w:right="100" w:firstLine="191"/>
        <w:spacing w:after="0" w:line="247" w:lineRule="auto"/>
        <w:rPr>
          <w:sz w:val="20"/>
          <w:szCs w:val="20"/>
          <w:color w:val="auto"/>
        </w:rPr>
      </w:pPr>
      <w:r>
        <w:rPr>
          <w:rFonts w:ascii="Times New Roman" w:cs="Times New Roman" w:eastAsia="Times New Roman" w:hAnsi="Times New Roman"/>
          <w:sz w:val="16"/>
          <w:szCs w:val="16"/>
          <w:color w:val="auto"/>
        </w:rPr>
        <w:t>In November 2024, the Company announced an anticipated $60 million investment over an 18-month period to expand the capacity of its centrifuge manufacturing facility in Oak Ridge, Tennessee. In January 2025, the Company announced plans to invest more than $560 million over several years to transition its Oak Ridge centrifuge manufacturing plant to high-rate manufacturing and support the production of thousands of advanced centrifuges. Centrifuge manufacturing began in Oak Ridge in December 2025, with the first new centrifuges expected to come online in Ohio in 2029.</w:t>
      </w:r>
    </w:p>
    <w:p>
      <w:pPr>
        <w:spacing w:after="0" w:line="176" w:lineRule="exact"/>
        <w:rPr>
          <w:sz w:val="20"/>
          <w:szCs w:val="20"/>
          <w:color w:val="auto"/>
        </w:rPr>
      </w:pPr>
    </w:p>
    <w:p>
      <w:pPr>
        <w:ind w:firstLine="191"/>
        <w:spacing w:after="0" w:line="259" w:lineRule="auto"/>
        <w:rPr>
          <w:sz w:val="20"/>
          <w:szCs w:val="20"/>
          <w:color w:val="auto"/>
        </w:rPr>
      </w:pPr>
      <w:r>
        <w:rPr>
          <w:rFonts w:ascii="Times New Roman" w:cs="Times New Roman" w:eastAsia="Times New Roman" w:hAnsi="Times New Roman"/>
          <w:sz w:val="16"/>
          <w:szCs w:val="16"/>
          <w:color w:val="auto"/>
        </w:rPr>
        <w:t>In September, 2025, the Company announced plans for a major expansion of its uranium enrichment capacity in Piketon, Ohio, including plans for large-scale production of both LEU and HALEU to meet commercial and government requirements.</w:t>
      </w:r>
    </w:p>
    <w:p>
      <w:pPr>
        <w:spacing w:after="0" w:line="165" w:lineRule="exact"/>
        <w:rPr>
          <w:sz w:val="20"/>
          <w:szCs w:val="20"/>
          <w:color w:val="auto"/>
        </w:rPr>
      </w:pPr>
    </w:p>
    <w:p>
      <w:pPr>
        <w:ind w:right="340" w:firstLine="191"/>
        <w:spacing w:after="0" w:line="252" w:lineRule="auto"/>
        <w:rPr>
          <w:sz w:val="20"/>
          <w:szCs w:val="20"/>
          <w:color w:val="auto"/>
        </w:rPr>
      </w:pPr>
      <w:r>
        <w:rPr>
          <w:rFonts w:ascii="Times New Roman" w:cs="Times New Roman" w:eastAsia="Times New Roman" w:hAnsi="Times New Roman"/>
          <w:sz w:val="16"/>
          <w:szCs w:val="16"/>
          <w:color w:val="auto"/>
        </w:rPr>
        <w:t>In December 2025, the Company initiated design work on a 150,000 square foot training, operations and maintenance facility in Piketon, Ohio – a critical piece of site infrastructure necessary to support the Company's plans for a major expansion of its uranium enrichment capacity in Piketon. The project involves a significant renovation and rehabilitation of an existing, largely vacant building on the site of the American Centrifuge Plant in Piketon, Ohio. Construction activities began in early 2026. The facility is expected to include a mix of office space, training facilities, and maintenance bays to support plant operations.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7" w:right="379" w:bottom="1440" w:gutter="0" w:footer="0" w:header="0"/>
        </w:sectPr>
      </w:pPr>
    </w:p>
    <w:bookmarkStart w:id="33" w:name="page34"/>
    <w:bookmarkEnd w:id="33"/>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Also in December 2025, the Company began domestic centrifuge manufacturing to support commercial LEU enrichment activities at its Piketon, Ohio, facility. This enables the Company to capitalize on its many first-mover advantages in U.S.-owned domestic uranium enrichment, and marks one of the most consequential transformations in the Company's and the United States' uranium enrichment history. Centrus plans to leverage its pending multi-billion-dollar uranium enrichment expansion to meet its growing backlog of $2.4 billion in contingent LEU sales to U.S. and international customer contracts, along with commercial-scale HALEU production. There is no assurance that the Company will successfully complete the announced expansion of its uranium enrichment capacity in Piketon, Ohio, or execute plans for large-scale production of both LEU and HALEU to meet commercial and government requirements.</w:t>
      </w:r>
    </w:p>
    <w:p>
      <w:pPr>
        <w:spacing w:after="0" w:line="175" w:lineRule="exact"/>
        <w:rPr>
          <w:sz w:val="20"/>
          <w:szCs w:val="20"/>
          <w:color w:val="auto"/>
        </w:rPr>
      </w:pPr>
    </w:p>
    <w:p>
      <w:pPr>
        <w:ind w:right="240" w:firstLine="191"/>
        <w:spacing w:after="0" w:line="254" w:lineRule="auto"/>
        <w:rPr>
          <w:sz w:val="20"/>
          <w:szCs w:val="20"/>
          <w:color w:val="auto"/>
        </w:rPr>
      </w:pPr>
      <w:r>
        <w:rPr>
          <w:rFonts w:ascii="Times New Roman" w:cs="Times New Roman" w:eastAsia="Times New Roman" w:hAnsi="Times New Roman"/>
          <w:sz w:val="16"/>
          <w:szCs w:val="16"/>
          <w:color w:val="auto"/>
        </w:rPr>
        <w:t>The Company was selected for the $900 million task award from DOE on January 5, 2026. Later that month, the Company announced plans to invest more than $560 million over several years to transition its Oak Ridge centrifuge manufacturing plant to high-rate manufacturing and support the production of thousands of advanced centrifuges. Centrifuge manufacturing began in Oak Ridge in December 2025, with the first new centrifuges expected to come online in Ohio in 2029.</w:t>
      </w:r>
    </w:p>
    <w:p>
      <w:pPr>
        <w:spacing w:after="0" w:line="159" w:lineRule="exact"/>
        <w:rPr>
          <w:sz w:val="20"/>
          <w:szCs w:val="20"/>
          <w:color w:val="auto"/>
        </w:rPr>
      </w:pPr>
    </w:p>
    <w:p>
      <w:pPr>
        <w:ind w:right="80" w:firstLine="191"/>
        <w:spacing w:after="0" w:line="261" w:lineRule="auto"/>
        <w:rPr>
          <w:sz w:val="20"/>
          <w:szCs w:val="20"/>
          <w:color w:val="auto"/>
        </w:rPr>
      </w:pPr>
      <w:r>
        <w:rPr>
          <w:rFonts w:ascii="Times New Roman" w:cs="Times New Roman" w:eastAsia="Times New Roman" w:hAnsi="Times New Roman"/>
          <w:sz w:val="16"/>
          <w:szCs w:val="16"/>
          <w:color w:val="auto"/>
        </w:rPr>
        <w:t>In February 2026, ACO entered into an engineering, procurement and construction contract with Fluor Federal Services, Inc. (“Fluor”), a third-party contractor, for the commercial expansion and deployment of LEU and HALEU production capability at the American Centrifuge Plant in Piketon, Ohio. The contract provides for compensation on a time and materials basis at agreed labor rates and extends until the completion of performance.</w:t>
      </w:r>
    </w:p>
    <w:p>
      <w:pPr>
        <w:spacing w:after="0" w:line="153" w:lineRule="exact"/>
        <w:rPr>
          <w:sz w:val="20"/>
          <w:szCs w:val="20"/>
          <w:color w:val="auto"/>
        </w:rPr>
      </w:pPr>
    </w:p>
    <w:p>
      <w:pPr>
        <w:ind w:right="40" w:firstLine="191"/>
        <w:spacing w:after="0" w:line="251" w:lineRule="auto"/>
        <w:rPr>
          <w:sz w:val="20"/>
          <w:szCs w:val="20"/>
          <w:color w:val="auto"/>
        </w:rPr>
      </w:pPr>
      <w:r>
        <w:rPr>
          <w:rFonts w:ascii="Times New Roman" w:cs="Times New Roman" w:eastAsia="Times New Roman" w:hAnsi="Times New Roman"/>
          <w:sz w:val="16"/>
          <w:szCs w:val="16"/>
          <w:color w:val="auto"/>
        </w:rPr>
        <w:t>Under the contract, Fluor’s services will include design, engineering, procurement, construction and construction management, and related services to support full commercial HALEU and LEU operations. Fluor will be reimbursed amount for all costs incurred in connection with the relevant work (such as labor, equipment, materials, and other direct costs), plus other agreed upon margins. ACO will fund the services by establishing a zero-balance and escrow general disbursement account that will be administered in accordance with agreed-upon procedures. ACO will authorize funds incrementally in accordance with stage gates and Fluor’s performance is limited by the authorized funding. The total price paid to Fluor will depend on the scope of the services authorized by the ACO, in accordance with the terms of the contract.</w:t>
      </w:r>
    </w:p>
    <w:p>
      <w:pPr>
        <w:spacing w:after="0" w:line="163" w:lineRule="exact"/>
        <w:rPr>
          <w:sz w:val="20"/>
          <w:szCs w:val="20"/>
          <w:color w:val="auto"/>
        </w:rPr>
      </w:pPr>
    </w:p>
    <w:p>
      <w:pPr>
        <w:jc w:val="both"/>
        <w:ind w:right="400" w:firstLine="191"/>
        <w:spacing w:after="0" w:line="254" w:lineRule="auto"/>
        <w:rPr>
          <w:sz w:val="20"/>
          <w:szCs w:val="20"/>
          <w:color w:val="auto"/>
        </w:rPr>
      </w:pPr>
      <w:r>
        <w:rPr>
          <w:rFonts w:ascii="Times New Roman" w:cs="Times New Roman" w:eastAsia="Times New Roman" w:hAnsi="Times New Roman"/>
          <w:sz w:val="16"/>
          <w:szCs w:val="16"/>
          <w:color w:val="auto"/>
        </w:rPr>
        <w:t>The contract may be terminated or suspended by ACO or Fluor for cause, or by ACO for convenience, in which case Fluor is entitled to compensation for services and any applicable fee provided through termination. In the event of cancellation by ACO for reasons other than Fluor’s default, Fluor is also entitled to a cancellation fee in the initial amount of $24.0 million on February 9, 2026, subsequently decreasing by $2.0 million per month until reaching $0.</w:t>
      </w:r>
    </w:p>
    <w:p>
      <w:pPr>
        <w:spacing w:after="0" w:line="169" w:lineRule="exact"/>
        <w:rPr>
          <w:sz w:val="20"/>
          <w:szCs w:val="20"/>
          <w:color w:val="auto"/>
        </w:rPr>
      </w:pPr>
    </w:p>
    <w:p>
      <w:pPr>
        <w:ind w:firstLine="191"/>
        <w:spacing w:after="0" w:line="259" w:lineRule="auto"/>
        <w:rPr>
          <w:sz w:val="20"/>
          <w:szCs w:val="20"/>
          <w:color w:val="auto"/>
        </w:rPr>
      </w:pPr>
      <w:r>
        <w:rPr>
          <w:rFonts w:ascii="Times New Roman" w:cs="Times New Roman" w:eastAsia="Times New Roman" w:hAnsi="Times New Roman"/>
          <w:sz w:val="16"/>
          <w:szCs w:val="16"/>
          <w:color w:val="auto"/>
        </w:rPr>
        <w:t>In April 2026, Centrus entered into a contract with Geiger Brothers, Inc. (“Geiger Brothers”) as the construction contractor for the expansion of our uranium enrichment capacity in Piketon, Ohio. Fluor is serving as the project’s EPC contractor, while Geiger Brothers will conduct the on-the-ground construction work in Ohio.</w:t>
      </w:r>
    </w:p>
    <w:p>
      <w:pPr>
        <w:spacing w:after="0" w:line="165" w:lineRule="exact"/>
        <w:rPr>
          <w:sz w:val="20"/>
          <w:szCs w:val="20"/>
          <w:color w:val="auto"/>
        </w:rPr>
      </w:pPr>
    </w:p>
    <w:p>
      <w:pPr>
        <w:ind w:right="80" w:firstLine="191"/>
        <w:spacing w:after="0" w:line="254" w:lineRule="auto"/>
        <w:rPr>
          <w:sz w:val="20"/>
          <w:szCs w:val="20"/>
          <w:color w:val="auto"/>
        </w:rPr>
      </w:pPr>
      <w:r>
        <w:rPr>
          <w:rFonts w:ascii="Times New Roman" w:cs="Times New Roman" w:eastAsia="Times New Roman" w:hAnsi="Times New Roman"/>
          <w:sz w:val="16"/>
          <w:szCs w:val="16"/>
          <w:color w:val="auto"/>
        </w:rPr>
        <w:t>In March 2026, Centrus announced that the Company is exploring a joint venture with Oklo Inc. (“Oklo”) focused on deconversion services for HALEU – which currently does not exist commercially. Activities under this contemplated joint venture would occur at Centrus’ site in Piketon, Ohio, to be co-located with Centrus’ enrichment operations and adjacent to Oklo’s planned 1.2 GW power campus.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34" w:name="page35"/>
    <w:bookmarkEnd w:id="34"/>
    <w:p>
      <w:pPr>
        <w:ind w:firstLine="191"/>
        <w:spacing w:after="0" w:line="248" w:lineRule="auto"/>
        <w:rPr>
          <w:sz w:val="20"/>
          <w:szCs w:val="20"/>
          <w:color w:val="auto"/>
        </w:rPr>
      </w:pPr>
      <w:r>
        <w:rPr>
          <w:rFonts w:ascii="Times New Roman" w:cs="Times New Roman" w:eastAsia="Times New Roman" w:hAnsi="Times New Roman"/>
          <w:sz w:val="16"/>
          <w:szCs w:val="16"/>
          <w:color w:val="auto"/>
        </w:rPr>
        <w:t>Centrus believes developing enrichment and deconversion services at its Piketon location will raise efficiency, expand domestic capacity, and help solve what is widely viewed as a potential nuclear fuel bottleneck to the pace of large-scale deployment of advanced nuclear power technology. There are numerous HALEU-fueled reactor technologies under development today in the U.S., each of which may have its own separate fuel fabrication plant to meet the unique requirements of the design. A central hub for deconversion services co-located with HALEU enrichment could eliminate the need for each fuel fabrication facility to establish its own deconversion line and could simplify and reduce the cost of shipping HALEU. Centrus and Oklo plan to explore opportunities for potential coordination of regulatory and research and development activities, including joint engagement with U.S. federal agencies to propose solutions that support co-location of deconversion and enrichment services.</w:t>
      </w:r>
    </w:p>
    <w:p>
      <w:pPr>
        <w:spacing w:after="0" w:line="175" w:lineRule="exact"/>
        <w:rPr>
          <w:sz w:val="20"/>
          <w:szCs w:val="20"/>
          <w:color w:val="auto"/>
        </w:rPr>
      </w:pPr>
    </w:p>
    <w:p>
      <w:pPr>
        <w:ind w:right="40" w:firstLine="191"/>
        <w:spacing w:after="0" w:line="245" w:lineRule="auto"/>
        <w:rPr>
          <w:sz w:val="20"/>
          <w:szCs w:val="20"/>
          <w:color w:val="auto"/>
        </w:rPr>
      </w:pPr>
      <w:r>
        <w:rPr>
          <w:rFonts w:ascii="Times New Roman" w:cs="Times New Roman" w:eastAsia="Times New Roman" w:hAnsi="Times New Roman"/>
          <w:sz w:val="16"/>
          <w:szCs w:val="16"/>
          <w:color w:val="auto"/>
        </w:rPr>
        <w:t>The Qualifying Advanced Energy Project Credit (“§48C”) was established by the American Recovery and Reinvestment Act of 2009 and renewed and expanded under the IRA. The §48C program aims to strengthen U.S. industrial competitiveness and clean energy supply chains. On October 18, 2024, the Company submitted an application for a clean energy manufacturing and recycling project associated with re-equipping our manufacturing property at our manufacturing facility in Oak Ridge. This will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Internal Revenue Service (“IRS”) granted our request for a $62.4 million credit allocation for this facility. Centrus has until January 10, 2027 to provide evidence that the requirements of the credit have been met thus certifying our credit allocation. Upon certification of our credit allocation, we then have two years from that date to notify the DOE that the qualified investment in eligible property is placed in service to receive the credit allocation. It is uncertain how Executive Order 14154, “Unleashing American Energy,” will impact the IRS determination regarding our application request. For further discussion on Executive Order 14154, “Unleashing American Energy,” refer to Part I, Item 1A, Risk Factors in our Annual Report on Form 10-K for the year ended December 31, 2025.</w:t>
      </w:r>
    </w:p>
    <w:p>
      <w:pPr>
        <w:spacing w:after="0" w:line="180" w:lineRule="exact"/>
        <w:rPr>
          <w:sz w:val="20"/>
          <w:szCs w:val="20"/>
          <w:color w:val="auto"/>
        </w:rPr>
      </w:pPr>
    </w:p>
    <w:p>
      <w:pPr>
        <w:ind w:right="120" w:firstLine="191"/>
        <w:spacing w:after="0" w:line="287" w:lineRule="auto"/>
        <w:rPr>
          <w:sz w:val="20"/>
          <w:szCs w:val="20"/>
          <w:color w:val="auto"/>
        </w:rPr>
      </w:pPr>
      <w:r>
        <w:rPr>
          <w:rFonts w:ascii="Times New Roman" w:cs="Times New Roman" w:eastAsia="Times New Roman" w:hAnsi="Times New Roman"/>
          <w:sz w:val="14"/>
          <w:szCs w:val="14"/>
          <w:color w:val="auto"/>
        </w:rPr>
        <w:t>On November 7, 2024, the Company issued 2.25% Convertible Notes with an aggregate principal amount of $402.5 million, due November 1, 2030, unless earlier repurchased, redeemed or converted. On August 18, 2025, the Company issued 0% Convertible Notes with an aggregate principal amount of $805.0 million, due August 15, 2032, unless earlier repurchased, redeemed or converted. The proceeds from the 2.25% Convertible Notes and the 0% Convertible Notes have been or will be used for general working capital and corporate purposes, which may include investment in technology development or deployment, repayment or repurchase of outstanding debt, capital expenditures, potential acquisitions and other business opportunities and purposes. The 2.25% Convertible Notes bear interest at an annual rate of 2.25%, payable semi-annually in arrears on May 1 and November 1, of each year, beginning on May 1, 2025. There are no required principal payments prior to the maturity of the 0% Convertible Notes or the 2.25% Convertible Notes.</w:t>
      </w:r>
    </w:p>
    <w:p>
      <w:pPr>
        <w:spacing w:after="0" w:line="150" w:lineRule="exact"/>
        <w:rPr>
          <w:sz w:val="20"/>
          <w:szCs w:val="20"/>
          <w:color w:val="auto"/>
        </w:rPr>
      </w:pPr>
    </w:p>
    <w:p>
      <w:pPr>
        <w:jc w:val="both"/>
        <w:ind w:right="200" w:firstLine="191"/>
        <w:spacing w:after="0" w:line="254" w:lineRule="auto"/>
        <w:rPr>
          <w:sz w:val="20"/>
          <w:szCs w:val="20"/>
          <w:color w:val="auto"/>
        </w:rPr>
      </w:pPr>
      <w:r>
        <w:rPr>
          <w:rFonts w:ascii="Times New Roman" w:cs="Times New Roman" w:eastAsia="Times New Roman" w:hAnsi="Times New Roman"/>
          <w:sz w:val="16"/>
          <w:szCs w:val="16"/>
          <w:color w:val="auto"/>
        </w:rPr>
        <w:t>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related to the extinguishment of the long-term debt.</w:t>
      </w:r>
    </w:p>
    <w:p>
      <w:pPr>
        <w:spacing w:after="0" w:line="169" w:lineRule="exact"/>
        <w:rPr>
          <w:sz w:val="20"/>
          <w:szCs w:val="20"/>
          <w:color w:val="auto"/>
        </w:rPr>
      </w:pPr>
    </w:p>
    <w:p>
      <w:pPr>
        <w:ind w:right="40" w:firstLine="191"/>
        <w:spacing w:after="0" w:line="254" w:lineRule="auto"/>
        <w:rPr>
          <w:sz w:val="20"/>
          <w:szCs w:val="20"/>
          <w:color w:val="auto"/>
        </w:rPr>
      </w:pPr>
      <w:r>
        <w:rPr>
          <w:rFonts w:ascii="Times New Roman" w:cs="Times New Roman" w:eastAsia="Times New Roman" w:hAnsi="Times New Roman"/>
          <w:sz w:val="16"/>
          <w:szCs w:val="16"/>
          <w:color w:val="auto"/>
        </w:rPr>
        <w:t>For calendar quarters in which the Convertible Notes became convertible at the option of the holders, the Company provided notice to the holders of the Convertible Notes that the notes became convertible beginning on the first day of the respective subsequent quarter, and ending at the close of business on the last day of said quarter. As of April 30, 2026, no notes were converted during those periods.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5" w:name="page36"/>
    <w:bookmarkEnd w:id="35"/>
    <w:p>
      <w:pPr>
        <w:jc w:val="center"/>
        <w:ind w:right="120"/>
        <w:spacing w:after="0"/>
        <w:rPr>
          <w:sz w:val="20"/>
          <w:szCs w:val="20"/>
          <w:color w:val="auto"/>
        </w:rPr>
      </w:pPr>
      <w:r>
        <w:rPr>
          <w:rFonts w:ascii="Times New Roman" w:cs="Times New Roman" w:eastAsia="Times New Roman" w:hAnsi="Times New Roman"/>
          <w:sz w:val="16"/>
          <w:szCs w:val="16"/>
          <w:color w:val="auto"/>
        </w:rPr>
        <w:t>The war in Ukraine, along with the Import Ban Act and the Russian Decree, have contributed to a significant increase in market prices for enrichment and prompted calls for</w:t>
      </w:r>
    </w:p>
    <w:p>
      <w:pPr>
        <w:spacing w:after="0" w:line="1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public and private investment in new, domestic uranium enrichment capacity not only for HALEU production, but also for LEU production to support the existing fleet of reactors. As a result, coupled with the Company’s contract awards for HALEU and LEU production, Centrus is exploring the opportunity to deploy LEU enrichment alongside HALEU enrichment to meet a range of commercial and U.S. government requirements, which would bring cost synergies while increasing revenue opportunities. Our ability to deploy LEU and/or HALEU enrichment, and the timing, sequencing, and scale of those capabilities, is subject to the availability of funding and/or offtake commitments.</w:t>
      </w:r>
    </w:p>
    <w:p>
      <w:pPr>
        <w:spacing w:after="0" w:line="147" w:lineRule="exact"/>
        <w:rPr>
          <w:sz w:val="20"/>
          <w:szCs w:val="20"/>
          <w:color w:val="auto"/>
        </w:rPr>
      </w:pPr>
    </w:p>
    <w:p>
      <w:pPr>
        <w:ind w:right="80" w:firstLine="191"/>
        <w:spacing w:after="0" w:line="285" w:lineRule="auto"/>
        <w:rPr>
          <w:sz w:val="20"/>
          <w:szCs w:val="20"/>
          <w:color w:val="auto"/>
        </w:rPr>
      </w:pPr>
      <w:r>
        <w:rPr>
          <w:rFonts w:ascii="Times New Roman" w:cs="Times New Roman" w:eastAsia="Times New Roman" w:hAnsi="Times New Roman"/>
          <w:sz w:val="14"/>
          <w:szCs w:val="14"/>
          <w:color w:val="auto"/>
        </w:rPr>
        <w:t>The Energy Act of 2020 (“The Energy Act”) required the DOE to establish a program to support the availability of HALEU for civilian domestic research, development, demonstration, and commercial use. The Energy Act also reauthorized DOE nuclear energy research, development, demonstration, and commercial application activities, including advanced fuel, research and development for advanced reactors, used fuel technologies, and integration of nuclear energy systems for both existing plants and advanced nuclear concepts. It also authorized the funding of an ARDP which was launched by the DOE in May 2020. There are a number of advanced reactors under development that would use HALEU. Nine of the ten advanced reactor designs initially selected by the DOE for its ARDP will require HALEU. Various agencies of the U.S. government, including the U.S. Department of Defense, the Defense Advanced Research Projects Agency, and the DOE are building small modular reactors and microreactors, which demonstrates the focus on both the development of microreactors and HALEU. We believe our investments in advanced enrichment technology and our progress in demonstrating HALEU production will position the Company to meet the needs of government and commercial customers in the future as they deploy advanced reactors and next generation fuels and also offers potential cost synergies for a return to LEU production. Further, the Company is taking steps to pursue, including through the exploration of strategic partnerships, technologies that are complementary to HALEU production and critical to the HALEU ecosystem, including deconversion and fuel fabrication.</w:t>
      </w:r>
    </w:p>
    <w:p>
      <w:pPr>
        <w:spacing w:after="0" w:line="338" w:lineRule="exact"/>
        <w:rPr>
          <w:sz w:val="20"/>
          <w:szCs w:val="20"/>
          <w:color w:val="auto"/>
        </w:rPr>
      </w:pPr>
    </w:p>
    <w:p>
      <w:pPr>
        <w:ind w:firstLine="191"/>
        <w:spacing w:after="0" w:line="253" w:lineRule="auto"/>
        <w:rPr>
          <w:sz w:val="20"/>
          <w:szCs w:val="20"/>
          <w:color w:val="auto"/>
        </w:rPr>
      </w:pPr>
      <w:r>
        <w:rPr>
          <w:rFonts w:ascii="Times New Roman" w:cs="Times New Roman" w:eastAsia="Times New Roman" w:hAnsi="Times New Roman"/>
          <w:sz w:val="16"/>
          <w:szCs w:val="16"/>
          <w:color w:val="auto"/>
        </w:rPr>
        <w:t>While the monthly price indicators have increased for several years, the uranium enrichment segment of the nuclear fuel market remains oversupplied and faces uncertainty about future demand for nuclear power generation. However, without Russian supply, the global market would be undersupplied for uranium enrichment. Recent data from the International Trade Commission shows a significant increase in the importation of enriched uranium into the U.S. from China beginning in 2023. If this trend continues, it will likely result in significant changes in the competitive landscape that will affect pricing trends, affect customer spending patterns, create uncertainty and will likely have a negative impact on our business. To address these changes, we have taken steps to adjust our cost structure; we may seek further adjustments to our cost structure and operations and evaluate opportunities to grow our business organically or through acquisitions and other strategic transactions.</w:t>
      </w:r>
    </w:p>
    <w:p>
      <w:pPr>
        <w:spacing w:after="0" w:line="163" w:lineRule="exact"/>
        <w:rPr>
          <w:sz w:val="20"/>
          <w:szCs w:val="20"/>
          <w:color w:val="auto"/>
        </w:rPr>
      </w:pPr>
    </w:p>
    <w:p>
      <w:pPr>
        <w:ind w:right="20" w:firstLine="191"/>
        <w:spacing w:after="0" w:line="252" w:lineRule="auto"/>
        <w:rPr>
          <w:sz w:val="20"/>
          <w:szCs w:val="20"/>
          <w:color w:val="auto"/>
        </w:rPr>
      </w:pPr>
      <w:r>
        <w:rPr>
          <w:rFonts w:ascii="Times New Roman" w:cs="Times New Roman" w:eastAsia="Times New Roman" w:hAnsi="Times New Roman"/>
          <w:sz w:val="16"/>
          <w:szCs w:val="16"/>
          <w:color w:val="auto"/>
        </w:rPr>
        <w:t xml:space="preserve">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 In connection with any such transaction, we may seek additional debt or equity financing, contribute or dispose of assets, assume additional indebtedness, or partner with other parties to consummate a transaction. For further discussion, refer to </w:t>
      </w:r>
      <w:r>
        <w:rPr>
          <w:rFonts w:ascii="Times New Roman" w:cs="Times New Roman" w:eastAsia="Times New Roman" w:hAnsi="Times New Roman"/>
          <w:sz w:val="16"/>
          <w:szCs w:val="16"/>
          <w:i w:val="1"/>
          <w:iCs w:val="1"/>
          <w:color w:val="auto"/>
        </w:rPr>
        <w:t>Liquidity and Capital Resources</w:t>
      </w:r>
      <w:r>
        <w:rPr>
          <w:rFonts w:ascii="Times New Roman" w:cs="Times New Roman" w:eastAsia="Times New Roman" w:hAnsi="Times New Roman"/>
          <w:sz w:val="16"/>
          <w:szCs w:val="16"/>
          <w:color w:val="auto"/>
        </w:rPr>
        <w:t xml:space="preserve"> in this Quarterly Report on Form 10-Q.</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Conditions and Outlook</w:t>
      </w:r>
    </w:p>
    <w:p>
      <w:pPr>
        <w:spacing w:after="0" w:line="189" w:lineRule="exact"/>
        <w:rPr>
          <w:sz w:val="20"/>
          <w:szCs w:val="20"/>
          <w:color w:val="auto"/>
        </w:rPr>
      </w:pPr>
    </w:p>
    <w:p>
      <w:pPr>
        <w:ind w:right="100" w:firstLine="191"/>
        <w:spacing w:after="0" w:line="261" w:lineRule="auto"/>
        <w:rPr>
          <w:sz w:val="20"/>
          <w:szCs w:val="20"/>
          <w:color w:val="auto"/>
        </w:rPr>
      </w:pPr>
      <w:r>
        <w:rPr>
          <w:rFonts w:ascii="Times New Roman" w:cs="Times New Roman" w:eastAsia="Times New Roman" w:hAnsi="Times New Roman"/>
          <w:sz w:val="16"/>
          <w:szCs w:val="16"/>
          <w:color w:val="auto"/>
        </w:rPr>
        <w:t>The global nuclear industry outlook has improved after many years of decline or stagnation. The development of advanced small and large-scale reactors, the innovation of advanced fuel types, and the commitment of nations to begin deploying nuclear power or to increase the share of nuclear power in their nations has created optimism in the market. Part of the momentum has resulted from efforts to lower greenhouse gas emissions to combat climate change and improve health and safety.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6" w:name="page37"/>
    <w:bookmarkEnd w:id="36"/>
    <w:p>
      <w:pPr>
        <w:ind w:firstLine="191"/>
        <w:spacing w:after="0" w:line="248" w:lineRule="auto"/>
        <w:rPr>
          <w:sz w:val="20"/>
          <w:szCs w:val="20"/>
          <w:color w:val="auto"/>
        </w:rPr>
      </w:pPr>
      <w:r>
        <w:rPr>
          <w:rFonts w:ascii="Times New Roman" w:cs="Times New Roman" w:eastAsia="Times New Roman" w:hAnsi="Times New Roman"/>
          <w:sz w:val="16"/>
          <w:szCs w:val="16"/>
          <w:color w:val="auto"/>
        </w:rPr>
        <w:t>According to the WNA, as of March 2026, there were 78 reactors under construction worldwide, approximately one-half of which are in China. The United States, with 94 operating reactors, remains the world’s largest market for nuclear fuel. The nuclear industry in the United States, Japan, and Europe faces headwinds as well as opportunities. In the United States, the industry has been under pressure from the expansion of subsidized renewable energy as well as relatively low-cost natural gas resources in recent years. Eight U.S. reactors have prematurely shut down in the past ten years, and others could shut down in the next few years. At the same time, construction was completed, and commercial operations began in the second quarter of 2024 on one large reactor and two formerly shutdown reactors have plans to restart.</w:t>
      </w:r>
    </w:p>
    <w:p>
      <w:pPr>
        <w:spacing w:after="0" w:line="172" w:lineRule="exact"/>
        <w:rPr>
          <w:sz w:val="20"/>
          <w:szCs w:val="20"/>
          <w:color w:val="auto"/>
        </w:rPr>
      </w:pPr>
    </w:p>
    <w:p>
      <w:pPr>
        <w:ind w:right="80" w:firstLine="191"/>
        <w:spacing w:after="0" w:line="255" w:lineRule="auto"/>
        <w:rPr>
          <w:sz w:val="20"/>
          <w:szCs w:val="20"/>
          <w:color w:val="auto"/>
        </w:rPr>
      </w:pPr>
      <w:r>
        <w:rPr>
          <w:rFonts w:ascii="Times New Roman" w:cs="Times New Roman" w:eastAsia="Times New Roman" w:hAnsi="Times New Roman"/>
          <w:sz w:val="16"/>
          <w:szCs w:val="16"/>
          <w:color w:val="auto"/>
        </w:rPr>
        <w:t xml:space="preserve">The IEA projects that global nuclear energy generation will grow substantially in the next three decades. In the IEA’s </w:t>
      </w:r>
      <w:r>
        <w:rPr>
          <w:rFonts w:ascii="Times New Roman" w:cs="Times New Roman" w:eastAsia="Times New Roman" w:hAnsi="Times New Roman"/>
          <w:sz w:val="16"/>
          <w:szCs w:val="16"/>
          <w:i w:val="1"/>
          <w:iCs w:val="1"/>
          <w:color w:val="auto"/>
        </w:rPr>
        <w:t>2025 World Energy Outlook</w:t>
      </w:r>
      <w:r>
        <w:rPr>
          <w:rFonts w:ascii="Times New Roman" w:cs="Times New Roman" w:eastAsia="Times New Roman" w:hAnsi="Times New Roman"/>
          <w:sz w:val="16"/>
          <w:szCs w:val="16"/>
          <w:color w:val="auto"/>
        </w:rPr>
        <w:t>, nuclear generation is forecasted to grow by 38% by 2035 and 62% by 2040 under the “Stated Policies” scenario. In the “Net Zero Emissions by 2050” scenario, nuclear generation would grow by 70% by 2035 and more than double by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119380</wp:posOffset>
            </wp:positionV>
            <wp:extent cx="3880485" cy="2788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80485" cy="278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firstLine="191"/>
        <w:spacing w:after="0" w:line="252" w:lineRule="auto"/>
        <w:rPr>
          <w:sz w:val="20"/>
          <w:szCs w:val="20"/>
          <w:color w:val="auto"/>
        </w:rPr>
      </w:pPr>
      <w:r>
        <w:rPr>
          <w:rFonts w:ascii="Times New Roman" w:cs="Times New Roman" w:eastAsia="Times New Roman" w:hAnsi="Times New Roman"/>
          <w:sz w:val="16"/>
          <w:szCs w:val="16"/>
          <w:color w:val="auto"/>
        </w:rPr>
        <w:t>As a consequence of the March 2011 earthquake and tsunami in Japan, over 60 reactors in Japan and Germany were taken offline, and other countries curtailed or slowed their construction of new reactors or accelerated the retirement of existing plants. In Japan, 15 reactors have restarted, and an additional 10 reactors are in the process of restart approval. Due to the war in Ukraine, the EU is encouraging its member countries to reconsider the planned early retirement of existing plants in order to reduce reliance on Russian gas imports.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7" w:right="399" w:bottom="1440" w:gutter="0" w:footer="0" w:header="0"/>
        </w:sectPr>
      </w:pPr>
    </w:p>
    <w:bookmarkStart w:id="37" w:name="page38"/>
    <w:bookmarkEnd w:id="37"/>
    <w:p>
      <w:pPr>
        <w:ind w:right="20" w:firstLine="191"/>
        <w:spacing w:after="0" w:line="246" w:lineRule="auto"/>
        <w:rPr>
          <w:sz w:val="20"/>
          <w:szCs w:val="20"/>
          <w:color w:val="auto"/>
        </w:rPr>
      </w:pPr>
      <w:r>
        <w:rPr>
          <w:rFonts w:ascii="Times New Roman" w:cs="Times New Roman" w:eastAsia="Times New Roman" w:hAnsi="Times New Roman"/>
          <w:sz w:val="16"/>
          <w:szCs w:val="16"/>
          <w:color w:val="auto"/>
        </w:rPr>
        <w:t>In October 2020, the DOC reached an agreement with the Russian Federation on an extension of the RSA, a trade agreement that allows for Russian-origin nuclear fuel to be exported to the United States in limited quantities. The two parties agreed to extend the agreement through 2040 and to set aside a significant portion of the quota for Centrus’ shipments to the United States through 2028 to perform under our TENEX Supply Contract. This outcome allowed for sufficient quota for Centrus to continue serving its utility customers and support its investments in building new capacity. Use of this quota is subject to compliance with limitations under the RSA. These limitations include a requirement that we return natural uranium to TENEX for the LEU we receive under the TENEX Supply Contract at approximately the same time that we deliver the LEU to our customers. Our ability to meet this requirement depends on the capacity or willingness of the facilities where natural uranium is supplied to us by customers to allow us to deliver this natural uranium to TENEX. We were notified by one facility that it will no longer receive natural uranium for TENEX. As a result, we will need to rely to a greater extent on deliveries at other processors or explore other options in order to comply with the RSA’s natural uranium delivery requirement.</w:t>
      </w:r>
    </w:p>
    <w:p>
      <w:pPr>
        <w:spacing w:after="0" w:line="178" w:lineRule="exact"/>
        <w:rPr>
          <w:sz w:val="20"/>
          <w:szCs w:val="20"/>
          <w:color w:val="auto"/>
        </w:rPr>
      </w:pPr>
    </w:p>
    <w:p>
      <w:pPr>
        <w:ind w:firstLine="191"/>
        <w:spacing w:after="0" w:line="286" w:lineRule="auto"/>
        <w:rPr>
          <w:sz w:val="20"/>
          <w:szCs w:val="20"/>
          <w:color w:val="auto"/>
        </w:rPr>
      </w:pPr>
      <w:r>
        <w:rPr>
          <w:rFonts w:ascii="Times New Roman" w:cs="Times New Roman" w:eastAsia="Times New Roman" w:hAnsi="Times New Roman"/>
          <w:sz w:val="14"/>
          <w:szCs w:val="14"/>
          <w:color w:val="auto"/>
        </w:rPr>
        <w:t>The war in Ukraine escalated tensions between Russia and the international community. As a result, the United States and other countries imposed, including through the United States’ enactment of the Import Ban Act discussed below, and may continue imposing, additional sanctions, tariffs, and export controls against certain Russian products, services, organizations, and/or individuals and Russia passed the Russian Decree as discussed below. Such additional restrictions, and any Russian response thereto, could affect our ability to purchase, take delivery of, transport, or re-sell Russian uranium enrichment, engage in transactions with TENEX, or implement the TENEX Supply Contract, which would have a negative material impact on our business. Further, tariffs or sanctions by the United States, Russia or other countries may impact our ability and the cost to transport, export, import, take delivery, or make payments related to the LEU we purchase and may require us to increase purchases from non-Russian sources to the extent available. For example, due to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sanctions remain in place, the shipper will require further extensions beyond the expiration of the permit for continued shipments of LEU imports.</w:t>
      </w:r>
    </w:p>
    <w:p>
      <w:pPr>
        <w:spacing w:after="0" w:line="141"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In response to the war in Ukraine, on May 13, 2024, the U.S enacted the Import Ban Act which banned imports of LEU from Russia into the U.S. beginning August 11, 2024, subject to issuance of waivers by the DOE. In accordance with the instructions published by the DOE, in 2024, the Company filed waiver request applications with the DOE and has received waivers allowing importation of LEU from Russia for deliveries already committed by the Company to its (i) U.S. customers in years 2024 through 2027 and (ii) foreign customers for processing and reexport. On December 11, 2024, the Company filed a third waiver request application to allow for importation of LEU from Russia in 2026 and 2027 for use in future sales to our U.S. customers. The U.S. ban on imports of Russian LEU, without the grant of additional timely waivers, would have a negative material impact on our business. Through 2027, well over one-half of the LEU that we expect to deliver to customers was sourced under the TENEX Supply Contract. While we have other sources of supply, they are not sufficient to replace the TENEX supply. It is uncertain whether any waiver would be granted in response to our pending or any potential future applications and, if granted, whether any waiver would be granted in a timely manner for us to benefit from it.</w:t>
      </w:r>
    </w:p>
    <w:p>
      <w:pPr>
        <w:spacing w:after="0" w:line="178" w:lineRule="exact"/>
        <w:rPr>
          <w:sz w:val="20"/>
          <w:szCs w:val="20"/>
          <w:color w:val="auto"/>
        </w:rPr>
      </w:pPr>
    </w:p>
    <w:p>
      <w:pPr>
        <w:jc w:val="both"/>
        <w:ind w:right="200" w:firstLine="191"/>
        <w:spacing w:after="0" w:line="285" w:lineRule="auto"/>
        <w:rPr>
          <w:sz w:val="20"/>
          <w:szCs w:val="20"/>
          <w:color w:val="auto"/>
        </w:rPr>
      </w:pPr>
      <w:r>
        <w:rPr>
          <w:rFonts w:ascii="Times New Roman" w:cs="Times New Roman" w:eastAsia="Times New Roman" w:hAnsi="Times New Roman"/>
          <w:sz w:val="14"/>
          <w:szCs w:val="14"/>
          <w:color w:val="auto"/>
        </w:rPr>
        <w:t>On November 14, 2024, the government of the Russian Federation passed the Russian Decree, which has been extended through December 31, 2027, that rescinded TENEX’s general license to export LEU to the United States or to entities registered in the United States. TENEX is required to obtain a specific export license from the Russian authorities for each shipment to Centrus through 2027. Except for isolated delays, TENEX has received specific licenses to satisfy shipments to Centrus in the regular course of business.</w:t>
      </w:r>
    </w:p>
    <w:p>
      <w:pPr>
        <w:ind w:right="260"/>
        <w:spacing w:after="0" w:line="244" w:lineRule="auto"/>
        <w:rPr>
          <w:sz w:val="20"/>
          <w:szCs w:val="20"/>
          <w:color w:val="auto"/>
        </w:rPr>
      </w:pPr>
      <w:r>
        <w:rPr>
          <w:rFonts w:ascii="Times New Roman" w:cs="Times New Roman" w:eastAsia="Times New Roman" w:hAnsi="Times New Roman"/>
          <w:sz w:val="16"/>
          <w:szCs w:val="16"/>
          <w:color w:val="auto"/>
        </w:rPr>
        <w:t>However, Centrus has been informed that there is no certainty whether additional licenses will be issued by the Russian authorities and if issued, whether they will be issued in a timely manner and not rescinded prior to the shipment taking place.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38" w:name="page39"/>
    <w:bookmarkEnd w:id="38"/>
    <w:p>
      <w:pPr>
        <w:ind w:firstLine="191"/>
        <w:spacing w:after="0" w:line="252" w:lineRule="auto"/>
        <w:rPr>
          <w:sz w:val="20"/>
          <w:szCs w:val="20"/>
          <w:color w:val="auto"/>
        </w:rPr>
      </w:pPr>
      <w:r>
        <w:rPr>
          <w:rFonts w:ascii="Times New Roman" w:cs="Times New Roman" w:eastAsia="Times New Roman" w:hAnsi="Times New Roman"/>
          <w:sz w:val="16"/>
          <w:szCs w:val="16"/>
          <w:color w:val="auto"/>
        </w:rPr>
        <w:t>Since the enactment of the Import Ban Act and through the issuance of the Russian Decree, TENEX has continued to implement the TENEX Supply Contract while we pursue waivers from the DOE. However, we do not know what future actions, including in response to the Russian Decree, TENEX might take. If TENEX refuses to make future deliveries or otherwise suspends deliveries for an extended period under the TENEX Supply Contract, our delivery obligations to our customers would be negatively impacted, which would have a material adverse effect on the Company.</w:t>
      </w:r>
    </w:p>
    <w:p>
      <w:pPr>
        <w:spacing w:after="0" w:line="161" w:lineRule="exact"/>
        <w:rPr>
          <w:sz w:val="20"/>
          <w:szCs w:val="20"/>
          <w:color w:val="auto"/>
        </w:rPr>
      </w:pPr>
    </w:p>
    <w:p>
      <w:pPr>
        <w:ind w:right="20" w:firstLine="191"/>
        <w:spacing w:after="0" w:line="289" w:lineRule="auto"/>
        <w:rPr>
          <w:sz w:val="20"/>
          <w:szCs w:val="20"/>
          <w:color w:val="auto"/>
        </w:rPr>
      </w:pPr>
      <w:r>
        <w:rPr>
          <w:rFonts w:ascii="Times New Roman" w:cs="Times New Roman" w:eastAsia="Times New Roman" w:hAnsi="Times New Roman"/>
          <w:sz w:val="14"/>
          <w:szCs w:val="14"/>
          <w:color w:val="auto"/>
        </w:rPr>
        <w:t>On April 15, 2025, the President of the United States signed an Executive Order initiating a DOC investigation under Section 232 of the Trade Expansion Act of 1962, to determine whether imports of processed critical minerals, including uranium, and their derivative products threaten to impair national security. Following the investigation, on January 14, 2026, the President issued Proclamation 11001, which directed the Secretary of Commerce and the United States Trade Representative (“USTR”) to pursue negotiations with trading partners over the subsequent 180 days to ensure the United States maintains adequate supplies of critical minerals while mitigating supply-chain vulnerabilities affecting processed critical minerals and their derivative products. Proclamation 11001 indicated that, depending on the status or outcome of those negotiations, alternative remedies may be considered in the future, including the imposition of an additional sectoral tariff. The imposition of new or increased tariffs on these products or other trade restrictions from our international suppliers could significantly increase our costs and have a material adverse effect on our financial position and results of operations.</w:t>
      </w:r>
    </w:p>
    <w:p>
      <w:pPr>
        <w:spacing w:after="0" w:line="150" w:lineRule="exact"/>
        <w:rPr>
          <w:sz w:val="20"/>
          <w:szCs w:val="20"/>
          <w:color w:val="auto"/>
        </w:rPr>
      </w:pPr>
    </w:p>
    <w:p>
      <w:pPr>
        <w:ind w:right="20" w:firstLine="191"/>
        <w:spacing w:after="0" w:line="283" w:lineRule="auto"/>
        <w:rPr>
          <w:sz w:val="20"/>
          <w:szCs w:val="20"/>
          <w:color w:val="auto"/>
        </w:rPr>
      </w:pPr>
      <w:r>
        <w:rPr>
          <w:rFonts w:ascii="Times New Roman" w:cs="Times New Roman" w:eastAsia="Times New Roman" w:hAnsi="Times New Roman"/>
          <w:sz w:val="14"/>
          <w:szCs w:val="14"/>
          <w:color w:val="auto"/>
        </w:rPr>
        <w:t>In addition to limitations targeted specifically at imports of LEU, the expanding sanctions imposed by the United States and foreign governments on the mechanisms used to make payments to Russia and to obtain services, including transportation and other services, have increased the risk that implementation of the TENEX Supply Contract may be disrupted in the future. For example, effective January 10, 2025, the U.S. Secretary of the Treasury, made a determination pursuant to section l(a)(i) of Executive Order 14024, to apply certain sanctions to any person determined, pursuant to that section, to operate or have operated in “the energy sector of the Russian Federation economy.” TENEX’s financial institutions have had challenges in accepting payments denominated in U.S. dollars and the Company and TENEX had for a period of time agreed to delay certain payments under the TENEX Supply Contract as the parties reviewed payment processing options. Additionally, on April 17, 2025, the Office of the USTR released a notice issuing the results of its investigation into China’s dominance in the maritime, logistics, and shipbuilding sectors pursuant to Section 302(a) of the Trade Act of 1974, as amended. The USTR imposed new service fees on Chinese-built vessels entering U.S. ports above certain capacity. Our shipper of Russian LEU from Russia to the U.S. uses ships manufactured in China which happen to be exempt from the new fees under this notice. However, these fees would be significant if they were to be imposed on our shipper. If the USTR changes its position and does not exempt the type of vessel our shipper uses, then the additional fees imposed on our shipper for docking at U.S. ports would be cost prohibitive, would have a significant impact on our ability to transport Russian LEU and would also have a material adverse effect on our financial position and results of operations.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w:t>
      </w:r>
    </w:p>
    <w:p>
      <w:pPr>
        <w:spacing w:after="0" w:line="332" w:lineRule="exact"/>
        <w:rPr>
          <w:sz w:val="20"/>
          <w:szCs w:val="20"/>
          <w:color w:val="auto"/>
        </w:rPr>
      </w:pPr>
    </w:p>
    <w:p>
      <w:pPr>
        <w:ind w:right="240" w:firstLine="191"/>
        <w:spacing w:after="0" w:line="273" w:lineRule="auto"/>
        <w:rPr>
          <w:sz w:val="20"/>
          <w:szCs w:val="20"/>
          <w:color w:val="auto"/>
        </w:rPr>
      </w:pPr>
      <w:r>
        <w:rPr>
          <w:rFonts w:ascii="Times New Roman" w:cs="Times New Roman" w:eastAsia="Times New Roman" w:hAnsi="Times New Roman"/>
          <w:sz w:val="16"/>
          <w:szCs w:val="16"/>
          <w:color w:val="auto"/>
        </w:rPr>
        <w:t>Given all the foregoing, we continue to monitor the situation closely in order to address the potential impact of any new sanctions, or restrictions on the Company or potential tariffs on products it imports or purchases from foreign suppliers and possible mitigation thereof.</w:t>
      </w:r>
    </w:p>
    <w:p>
      <w:pPr>
        <w:spacing w:after="0" w:line="142" w:lineRule="exact"/>
        <w:rPr>
          <w:sz w:val="20"/>
          <w:szCs w:val="20"/>
          <w:color w:val="auto"/>
        </w:rPr>
      </w:pPr>
    </w:p>
    <w:p>
      <w:pPr>
        <w:ind w:firstLine="191"/>
        <w:spacing w:after="0" w:line="275" w:lineRule="auto"/>
        <w:rPr>
          <w:sz w:val="20"/>
          <w:szCs w:val="20"/>
          <w:color w:val="auto"/>
        </w:rPr>
      </w:pPr>
      <w:r>
        <w:rPr>
          <w:rFonts w:ascii="Times New Roman" w:cs="Times New Roman" w:eastAsia="Times New Roman" w:hAnsi="Times New Roman"/>
          <w:sz w:val="16"/>
          <w:szCs w:val="16"/>
          <w:color w:val="auto"/>
        </w:rPr>
        <w:t xml:space="preserve">For further discussion of these risks and uncertainties,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our Annual Report on Form 10-K for the year ended December 31, 2025 and under Part II,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color w:val="auto"/>
        </w:rPr>
        <w:t>Operating Results</w:t>
      </w:r>
    </w:p>
    <w:p>
      <w:pPr>
        <w:spacing w:after="0" w:line="200" w:lineRule="exact"/>
        <w:rPr>
          <w:sz w:val="20"/>
          <w:szCs w:val="20"/>
          <w:color w:val="auto"/>
        </w:rPr>
      </w:pPr>
    </w:p>
    <w:p>
      <w:pPr>
        <w:ind w:right="180" w:firstLine="191"/>
        <w:spacing w:after="0" w:line="254" w:lineRule="auto"/>
        <w:rPr>
          <w:sz w:val="20"/>
          <w:szCs w:val="20"/>
          <w:color w:val="auto"/>
        </w:rPr>
      </w:pPr>
      <w:r>
        <w:rPr>
          <w:rFonts w:ascii="Times New Roman" w:cs="Times New Roman" w:eastAsia="Times New Roman" w:hAnsi="Times New Roman"/>
          <w:sz w:val="16"/>
          <w:szCs w:val="16"/>
          <w:color w:val="auto"/>
        </w:rPr>
        <w:t>Our revenues, operating results, and cash flows can fluctuate significantly from quarter to quarter and year to year. Our LEU segment backlog consists primarily of long-term, fixed commitment contracts and contingent sales commitments, and we have visibility on a significant portion of our revenue for 2026-2030, although our revenue is subject to material adverse impacts from the Import Ban Act and the Russian Decree.</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Our future operating results are subject to uncertainties that could affect results either positively or negatively. Among the factors that could affect our results are the following:</w:t>
      </w:r>
    </w:p>
    <w:p>
      <w:pPr>
        <w:spacing w:after="0" w:line="115" w:lineRule="exact"/>
        <w:rPr>
          <w:sz w:val="20"/>
          <w:szCs w:val="20"/>
          <w:color w:val="auto"/>
        </w:rPr>
      </w:pPr>
    </w:p>
    <w:p>
      <w:pPr>
        <w:ind w:left="700" w:hanging="250"/>
        <w:spacing w:after="0"/>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additional waivers to allow us to import LEU from Russia for future sales to our customers, given the enactment of the Import Ban Act;</w:t>
      </w:r>
    </w:p>
    <w:p>
      <w:pPr>
        <w:spacing w:after="0" w:line="91" w:lineRule="exact"/>
        <w:rPr>
          <w:rFonts w:ascii="Times New Roman" w:cs="Times New Roman" w:eastAsia="Times New Roman" w:hAnsi="Times New Roman"/>
          <w:sz w:val="16"/>
          <w:szCs w:val="16"/>
          <w:color w:val="auto"/>
        </w:rPr>
      </w:pPr>
    </w:p>
    <w:p>
      <w:pPr>
        <w:ind w:left="700" w:right="160" w:hanging="250"/>
        <w:spacing w:after="0" w:line="259" w:lineRule="auto"/>
        <w:tabs>
          <w:tab w:leader="none" w:pos="69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TENEX to obtain, or timely obtain, and the willingness of TENEX to continue to request, additional licenses to export LEU from Russia so that we may continue supplying LEU to our customers, given the enactment of the Russian Decree;</w:t>
      </w:r>
    </w:p>
    <w:p>
      <w:pPr>
        <w:spacing w:after="0" w:line="59" w:lineRule="exact"/>
        <w:rPr>
          <w:rFonts w:ascii="Times New Roman" w:cs="Times New Roman" w:eastAsia="Times New Roman" w:hAnsi="Times New Roman"/>
          <w:sz w:val="16"/>
          <w:szCs w:val="16"/>
          <w:color w:val="auto"/>
        </w:rPr>
      </w:pPr>
    </w:p>
    <w:p>
      <w:pPr>
        <w:ind w:left="700" w:right="220" w:hanging="250"/>
        <w:spacing w:after="0" w:line="259" w:lineRule="auto"/>
        <w:tabs>
          <w:tab w:leader="none" w:pos="69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in the LEU and energy markets, including pricing, demand, operations, government restrictions on imports, exports or investments, and regulations of our business and activities and those of our customers, suppliers, contractors, and subcontractors;</w:t>
      </w:r>
    </w:p>
    <w:p>
      <w:pPr>
        <w:spacing w:after="0" w:line="59" w:lineRule="exact"/>
        <w:rPr>
          <w:rFonts w:ascii="Times New Roman" w:cs="Times New Roman" w:eastAsia="Times New Roman" w:hAnsi="Times New Roman"/>
          <w:sz w:val="16"/>
          <w:szCs w:val="16"/>
          <w:color w:val="auto"/>
        </w:rPr>
      </w:pPr>
    </w:p>
    <w:p>
      <w:pPr>
        <w:ind w:left="700" w:right="480" w:hanging="250"/>
        <w:spacing w:after="0" w:line="340" w:lineRule="auto"/>
        <w:tabs>
          <w:tab w:leader="none" w:pos="69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Recently enacted tariffs and sanctions and the potential for additional tariffs, sanctions and other measures that restrict with whom we may transact or affect the importation, cost, sales or purchases of SWU or uranium or goods or services required for the sale, purchase, transportation or delivery of such SWU or uranium;</w:t>
      </w:r>
    </w:p>
    <w:p>
      <w:pPr>
        <w:ind w:left="700" w:hanging="250"/>
        <w:spacing w:after="0"/>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be awarded additional task orders under any of the HALEU Deconversion Contract or HALEU Production Contract;</w:t>
      </w:r>
    </w:p>
    <w:p>
      <w:pPr>
        <w:spacing w:after="0" w:line="91" w:lineRule="exact"/>
        <w:rPr>
          <w:rFonts w:ascii="Times New Roman" w:cs="Times New Roman" w:eastAsia="Times New Roman" w:hAnsi="Times New Roman"/>
          <w:sz w:val="16"/>
          <w:szCs w:val="16"/>
          <w:color w:val="auto"/>
        </w:rPr>
      </w:pPr>
    </w:p>
    <w:p>
      <w:pPr>
        <w:ind w:left="700" w:hanging="250"/>
        <w:spacing w:after="0" w:line="259" w:lineRule="auto"/>
        <w:tabs>
          <w:tab w:leader="none" w:pos="69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Insufficient or untimely U.S. government funding and government appropriations to support our IDIQ contracts with the U.S. federal government, including the HALEU Operation Contract and HALEU Production Contract;</w:t>
      </w:r>
    </w:p>
    <w:p>
      <w:pPr>
        <w:spacing w:after="0" w:line="59"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uncertainty from new or rescinded executive orders or new or changes to interpretations of federal regulations;</w:t>
      </w:r>
    </w:p>
    <w:p>
      <w:pPr>
        <w:spacing w:after="0" w:line="91" w:lineRule="exact"/>
        <w:rPr>
          <w:rFonts w:ascii="Times New Roman" w:cs="Times New Roman" w:eastAsia="Times New Roman" w:hAnsi="Times New Roman"/>
          <w:sz w:val="16"/>
          <w:szCs w:val="16"/>
          <w:color w:val="auto"/>
        </w:rPr>
      </w:pPr>
    </w:p>
    <w:p>
      <w:pPr>
        <w:ind w:left="700" w:right="580" w:hanging="250"/>
        <w:spacing w:after="0" w:line="259" w:lineRule="auto"/>
        <w:tabs>
          <w:tab w:leader="none" w:pos="69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Armed conflicts, including the war in Ukraine, government actions and other events or third-party actions that disrupt supply chains, production, transportation, payments, and importation of nuclear materials or other critical supplies or services;</w:t>
      </w:r>
    </w:p>
    <w:p>
      <w:pPr>
        <w:spacing w:after="0" w:line="59"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terms of additional purchases or sales of SWU and uranium;</w:t>
      </w:r>
    </w:p>
    <w:p>
      <w:pPr>
        <w:spacing w:after="0" w:line="8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customer orders, related deliveries, and purchases of LEU or LEU components;</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and future funding and demand for HALEU;</w:t>
      </w:r>
    </w:p>
    <w:p>
      <w:pPr>
        <w:spacing w:after="0" w:line="8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market conditions and other factors that may affect pension and benefit liabilities and the value of related assets;</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legal proceedings and other contingencies;</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use of cash for strategic or financial initiatives;</w:t>
      </w:r>
    </w:p>
    <w:p>
      <w:pPr>
        <w:spacing w:after="0" w:line="8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taken by customers and suppliers, including actions that might affect existing contracts;</w:t>
      </w:r>
    </w:p>
    <w:p>
      <w:pPr>
        <w:spacing w:after="0" w:line="91" w:lineRule="exact"/>
        <w:rPr>
          <w:rFonts w:ascii="Times New Roman" w:cs="Times New Roman" w:eastAsia="Times New Roman" w:hAnsi="Times New Roman"/>
          <w:sz w:val="16"/>
          <w:szCs w:val="16"/>
          <w:color w:val="auto"/>
        </w:rPr>
      </w:pPr>
    </w:p>
    <w:p>
      <w:pPr>
        <w:ind w:left="700" w:right="320" w:hanging="250"/>
        <w:spacing w:after="0" w:line="259" w:lineRule="auto"/>
        <w:tabs>
          <w:tab w:leader="none" w:pos="69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government’s ability to satisfy its obligations, including supplying government furnished equipment under its agreements with the Company or processing security clearances due to a shutdown or other reasons; and</w:t>
      </w:r>
    </w:p>
    <w:p>
      <w:pPr>
        <w:spacing w:after="0" w:line="59"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international trade, and other conditions impacting Centrus’ customers and the industry.</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40" w:name="page41"/>
    <w:bookmarkEnd w:id="40"/>
    <w:p>
      <w:pPr>
        <w:ind w:right="340" w:firstLine="191"/>
        <w:spacing w:after="0" w:line="275" w:lineRule="auto"/>
        <w:rPr>
          <w:sz w:val="20"/>
          <w:szCs w:val="20"/>
          <w:color w:val="auto"/>
        </w:rPr>
      </w:pPr>
      <w:r>
        <w:rPr>
          <w:rFonts w:ascii="Times New Roman" w:cs="Times New Roman" w:eastAsia="Times New Roman" w:hAnsi="Times New Roman"/>
          <w:sz w:val="16"/>
          <w:szCs w:val="16"/>
          <w:color w:val="auto"/>
        </w:rPr>
        <w:t xml:space="preserve">For further discussion of these risks and uncertainties,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our Annual Report on Form 10-K for the year ended December 31, 2025 and under Part II,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of this Quarterly Report on Form 10-Q.</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200" w:lineRule="exact"/>
        <w:rPr>
          <w:sz w:val="20"/>
          <w:szCs w:val="20"/>
          <w:color w:val="auto"/>
        </w:rPr>
      </w:pPr>
    </w:p>
    <w:p>
      <w:pPr>
        <w:ind w:firstLine="191"/>
        <w:spacing w:after="0" w:line="259" w:lineRule="auto"/>
        <w:rPr>
          <w:sz w:val="20"/>
          <w:szCs w:val="20"/>
          <w:color w:val="auto"/>
        </w:rPr>
      </w:pPr>
      <w:r>
        <w:rPr>
          <w:rFonts w:ascii="Times New Roman" w:cs="Times New Roman" w:eastAsia="Times New Roman" w:hAnsi="Times New Roman"/>
          <w:sz w:val="16"/>
          <w:szCs w:val="16"/>
          <w:color w:val="auto"/>
        </w:rPr>
        <w:t>The Company’s backlog is $3.9 billion and $3.8 billion as of March 31, 2026 and December 31, 2025, respectively, and extends to 2040. The backlog is recognized as revenue in future periods as work is performed or deliveries of SWU and uranium are made.</w:t>
      </w:r>
    </w:p>
    <w:p>
      <w:pPr>
        <w:spacing w:after="0" w:line="165" w:lineRule="exact"/>
        <w:rPr>
          <w:sz w:val="20"/>
          <w:szCs w:val="20"/>
          <w:color w:val="auto"/>
        </w:rPr>
      </w:pPr>
    </w:p>
    <w:p>
      <w:pPr>
        <w:ind w:right="40" w:firstLine="191"/>
        <w:spacing w:after="0" w:line="246" w:lineRule="auto"/>
        <w:rPr>
          <w:sz w:val="20"/>
          <w:szCs w:val="20"/>
          <w:color w:val="auto"/>
        </w:rPr>
      </w:pPr>
      <w:r>
        <w:rPr>
          <w:rFonts w:ascii="Times New Roman" w:cs="Times New Roman" w:eastAsia="Times New Roman" w:hAnsi="Times New Roman"/>
          <w:sz w:val="16"/>
          <w:szCs w:val="16"/>
          <w:color w:val="auto"/>
        </w:rPr>
        <w:t>Our backlog in the LEU segment extends to 2040. As of March 31, 2026 and December 31, 2025, our backlog was approximately $3.1 billion and $2.9 billion, respectively. The backlog is the estimated aggregate dollar amount of revenue for future SWU and uranium deliveries primarily under medium and long-term contracts with fixed commitments. Of the $3.1 billion, approximately $2.4 billion represents contingent LEU sales contracts and commitments, all of which are under definitive agreements, in support of potential construction of LEU production capacity at the Piketon, Ohio facility. The contingent sales commitments depend on our ability to secure substantial public and private investment necessary to build new enrichment capacity. The LEU segment backlog also includes approximately $0.1 billion of deferred revenue and advances from customers as of March 31, 2026, whereby customers have made advance payments to be applied against future deliveries. No orders in our backlog are considered at risk related to customer operations. However, these medium and long-term contracts are subject to other significant risks and uncertainties, including existing trade laws and restrictions such as the RSA, Import Ban Act, and the Russian Decree, as well as the potential for additional sanctions and other restrictions affecting the Company or its suppliers, in response to the evolving situation regarding the war in Ukraine.</w:t>
      </w:r>
    </w:p>
    <w:p>
      <w:pPr>
        <w:spacing w:after="0" w:line="170" w:lineRule="exact"/>
        <w:rPr>
          <w:sz w:val="20"/>
          <w:szCs w:val="20"/>
          <w:color w:val="auto"/>
        </w:rPr>
      </w:pPr>
    </w:p>
    <w:p>
      <w:pPr>
        <w:ind w:right="200" w:firstLine="191"/>
        <w:spacing w:after="0" w:line="252" w:lineRule="auto"/>
        <w:rPr>
          <w:sz w:val="20"/>
          <w:szCs w:val="20"/>
          <w:color w:val="auto"/>
        </w:rPr>
      </w:pPr>
      <w:r>
        <w:rPr>
          <w:rFonts w:ascii="Times New Roman" w:cs="Times New Roman" w:eastAsia="Times New Roman" w:hAnsi="Times New Roman"/>
          <w:sz w:val="16"/>
          <w:szCs w:val="16"/>
          <w:color w:val="auto"/>
        </w:rPr>
        <w:t>Our backlog in the Technical Solutions segment extends to 2034. As of both March 31, 2026 and December 31, 2025, our backlog was approximately $0.8 billion and $0.9 billion, respectively. Our backlog includes both funded amounts (services for which funding has been both authorized and appropriated by the customer), unfunded amounts (services for which funding has not been appropriated), and unexercised options in our contracts. If any of our contracts were to be terminated or options not being exercised, our remaining backlog would be reduced by the expected value of the cancelled contracts or forgone options.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is no assurance that the revenues projected will be realized, or, if realized, will result in profits.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We have two reportable segments: the LEU segment and the Technical Solutions segment.</w:t>
      </w:r>
    </w:p>
    <w:p>
      <w:pPr>
        <w:spacing w:after="0" w:line="1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Revenue from our LEU segment is derived primarily from the following:</w:t>
      </w:r>
    </w:p>
    <w:p>
      <w:pPr>
        <w:spacing w:after="0" w:line="134" w:lineRule="exact"/>
        <w:rPr>
          <w:sz w:val="20"/>
          <w:szCs w:val="20"/>
          <w:color w:val="auto"/>
        </w:rPr>
      </w:pPr>
    </w:p>
    <w:p>
      <w:pPr>
        <w:ind w:left="700" w:hanging="250"/>
        <w:spacing w:after="0"/>
        <w:tabs>
          <w:tab w:leader="none" w:pos="7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the SWU component of LEU,</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natural uranium hexafluoride, uranium concentrates or uranium conversion, and</w:t>
      </w:r>
    </w:p>
    <w:p>
      <w:pPr>
        <w:spacing w:after="0" w:line="8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enriched uranium product that include both the natural uranium hexafluoride and SWU components of LEU.</w:t>
      </w:r>
    </w:p>
    <w:p>
      <w:pPr>
        <w:spacing w:after="0" w:line="198" w:lineRule="exact"/>
        <w:rPr>
          <w:sz w:val="20"/>
          <w:szCs w:val="20"/>
          <w:color w:val="auto"/>
        </w:rPr>
      </w:pPr>
    </w:p>
    <w:p>
      <w:pPr>
        <w:ind w:right="180" w:firstLine="191"/>
        <w:spacing w:after="0" w:line="259" w:lineRule="auto"/>
        <w:rPr>
          <w:sz w:val="20"/>
          <w:szCs w:val="20"/>
          <w:color w:val="auto"/>
        </w:rPr>
      </w:pPr>
      <w:r>
        <w:rPr>
          <w:rFonts w:ascii="Times New Roman" w:cs="Times New Roman" w:eastAsia="Times New Roman" w:hAnsi="Times New Roman"/>
          <w:sz w:val="16"/>
          <w:szCs w:val="16"/>
          <w:color w:val="auto"/>
        </w:rPr>
        <w:t>Our Technical Solutions segment revenue is primarily derived from the production of HALEU under the HALEU Operation Contract with DOE and technical, manufacturing, engineering, and operations services offered to public and private sector customers.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color w:val="auto"/>
        </w:rPr>
        <w:t>SWU and Uranium Sales</w:t>
      </w:r>
    </w:p>
    <w:p>
      <w:pPr>
        <w:spacing w:after="0" w:line="200" w:lineRule="exact"/>
        <w:rPr>
          <w:sz w:val="20"/>
          <w:szCs w:val="20"/>
          <w:color w:val="auto"/>
        </w:rPr>
      </w:pPr>
    </w:p>
    <w:p>
      <w:pPr>
        <w:ind w:right="40" w:firstLine="191"/>
        <w:spacing w:after="0" w:line="246" w:lineRule="auto"/>
        <w:rPr>
          <w:sz w:val="20"/>
          <w:szCs w:val="20"/>
          <w:color w:val="auto"/>
        </w:rPr>
      </w:pPr>
      <w:r>
        <w:rPr>
          <w:rFonts w:ascii="Times New Roman" w:cs="Times New Roman" w:eastAsia="Times New Roman" w:hAnsi="Times New Roman"/>
          <w:sz w:val="16"/>
          <w:szCs w:val="16"/>
          <w:color w:val="auto"/>
        </w:rPr>
        <w:t>Revenue from our LEU segment accounted for approximately 58% of our total revenue for the three months ended March 31, 2026. The majority of our customers are domestic and international utilities that operate nuclear power plants, with international sales constituting approximately 44% of revenue from our LEU segment since 2024. Our agreements with electric utilities are primarily medium and long-term fixed-commitment contracts under which our customers are obligated to purchase a specified quantity of the SWU component of LEU from us. Contracts where we sell both the SWU and natural uranium hexafluoride components of LEU to utilities or where we sell natural uranium hexafluoride or uranium concentrates to utilities and other nuclear fuel related companies are generally shorter-term, fixed-commitment contracts. Individual customer orders for the SWU component of LEU fulfilled in the three months ended March 31, 2026 averaged approximately $13.7 million per order. As a result, a relatively small shift in the timing of customer orders for LEU may cause significant variability in our operating results period over period.</w:t>
      </w:r>
    </w:p>
    <w:p>
      <w:pPr>
        <w:spacing w:after="0" w:line="176" w:lineRule="exact"/>
        <w:rPr>
          <w:sz w:val="20"/>
          <w:szCs w:val="20"/>
          <w:color w:val="auto"/>
        </w:rPr>
      </w:pPr>
    </w:p>
    <w:p>
      <w:pPr>
        <w:ind w:right="420" w:firstLine="191"/>
        <w:spacing w:after="0" w:line="330" w:lineRule="auto"/>
        <w:rPr>
          <w:sz w:val="20"/>
          <w:szCs w:val="20"/>
          <w:color w:val="auto"/>
        </w:rPr>
      </w:pPr>
      <w:r>
        <w:rPr>
          <w:rFonts w:ascii="Times New Roman" w:cs="Times New Roman" w:eastAsia="Times New Roman" w:hAnsi="Times New Roman"/>
          <w:sz w:val="14"/>
          <w:szCs w:val="14"/>
          <w:color w:val="auto"/>
        </w:rPr>
        <w:t xml:space="preserve">Utility customers, in general, have the option to make payment but defer receipt of SWU and uranium products purchased from Centrus beyond the contractual sale period, resulting in the deferral of revenue recognition and related costs. Refer to Note 2, </w:t>
      </w:r>
      <w:r>
        <w:rPr>
          <w:rFonts w:ascii="Times New Roman" w:cs="Times New Roman" w:eastAsia="Times New Roman" w:hAnsi="Times New Roman"/>
          <w:sz w:val="14"/>
          <w:szCs w:val="14"/>
          <w:i w:val="1"/>
          <w:iCs w:val="1"/>
          <w:color w:val="auto"/>
        </w:rPr>
        <w:t>Revenue and Contracts with Customers,</w:t>
      </w:r>
      <w:r>
        <w:rPr>
          <w:rFonts w:ascii="Times New Roman" w:cs="Times New Roman" w:eastAsia="Times New Roman" w:hAnsi="Times New Roman"/>
          <w:sz w:val="14"/>
          <w:szCs w:val="14"/>
          <w:color w:val="auto"/>
        </w:rPr>
        <w:t xml:space="preserve"> of the Financial Statements for further details.</w:t>
      </w:r>
    </w:p>
    <w:p>
      <w:pPr>
        <w:spacing w:after="0" w:line="120" w:lineRule="exact"/>
        <w:rPr>
          <w:sz w:val="20"/>
          <w:szCs w:val="20"/>
          <w:color w:val="auto"/>
        </w:rPr>
      </w:pPr>
    </w:p>
    <w:p>
      <w:pPr>
        <w:ind w:firstLine="191"/>
        <w:spacing w:after="0" w:line="255" w:lineRule="auto"/>
        <w:rPr>
          <w:sz w:val="20"/>
          <w:szCs w:val="20"/>
          <w:color w:val="auto"/>
        </w:rPr>
      </w:pPr>
      <w:r>
        <w:rPr>
          <w:rFonts w:ascii="Times New Roman" w:cs="Times New Roman" w:eastAsia="Times New Roman" w:hAnsi="Times New Roman"/>
          <w:sz w:val="16"/>
          <w:szCs w:val="16"/>
          <w:color w:val="auto"/>
        </w:rPr>
        <w:t>Our financial performance over time can be affected significantly by changes in prices for SWU and natural uranium hexafluoride. Market prices for SWU and uranium significantly declined from 2011 until mid-2018, when they began to trend upward. More recently, market uncertainty in the wake of the war in Ukraine has driven SWU and natural uranium hexafluoride prices sharply higher. Since our backlog includes contracts awarded to us in previous years, the average SWU price billed to customers typically lags published price indicators by several years. Revenue in our LEU business varies based upon the timing of customer contracts. The pricing of deliveries varies depending upon the market conditions at the time the contract was signed and may not reflect current market prices.</w:t>
      </w:r>
    </w:p>
    <w:p>
      <w:pPr>
        <w:spacing w:after="0" w:line="168" w:lineRule="exact"/>
        <w:rPr>
          <w:sz w:val="20"/>
          <w:szCs w:val="20"/>
          <w:color w:val="auto"/>
        </w:rPr>
      </w:pPr>
    </w:p>
    <w:p>
      <w:pPr>
        <w:ind w:right="60" w:firstLine="191"/>
        <w:spacing w:after="0" w:line="295" w:lineRule="auto"/>
        <w:rPr>
          <w:sz w:val="20"/>
          <w:szCs w:val="20"/>
          <w:color w:val="auto"/>
        </w:rPr>
      </w:pPr>
      <w:r>
        <w:rPr>
          <w:rFonts w:ascii="Times New Roman" w:cs="Times New Roman" w:eastAsia="Times New Roman" w:hAnsi="Times New Roman"/>
          <w:sz w:val="14"/>
          <w:szCs w:val="14"/>
          <w:color w:val="auto"/>
        </w:rPr>
        <w:t>The Import Ban Act, which bans the importation of LEU from Russia, may severely limit importation through 2027. Notwithstanding our ability to obtain waivers under the Import Ban Act, the Russian Decree, which prohibits the exportation of Russian LEU without a license, may severely limit exportation of LEU from Russia through December 31, 2027. This has drawn attention to the potential for significant tightening of supplies in the market. Russian enrichment plants represent 43% of the world’s capacity, and Russian capacity significantly exceeds its domestic needs. According to data from the WNA, the annual enrichment requirements of reactors worldwide outside of Russia vastly exceeds the available supply of non-Russian enrichment, which potentially threatens the viability of some reactors, including those in the United States. While inventories and increased production at non-Russian plants may partially mitigate the shortfall, these options would not fully replace Russian supply. Deployment of new capacity ultimately could replace Russian enrichment, but this capacity will take a number of years and significant funding from private and/or government sources to come online. Centrus is seeking public and private funding to deploy new production capacity at its Piketon, Ohio plant to help meet the need for new, domestic supplies of enriched uranium.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2" w:name="page43"/>
    <w:bookmarkEnd w:id="42"/>
    <w:p>
      <w:pPr>
        <w:ind w:left="200"/>
        <w:spacing w:after="0"/>
        <w:rPr>
          <w:sz w:val="20"/>
          <w:szCs w:val="20"/>
          <w:color w:val="auto"/>
        </w:rPr>
      </w:pPr>
      <w:r>
        <w:rPr>
          <w:rFonts w:ascii="Times New Roman" w:cs="Times New Roman" w:eastAsia="Times New Roman" w:hAnsi="Times New Roman"/>
          <w:sz w:val="16"/>
          <w:szCs w:val="16"/>
          <w:color w:val="auto"/>
        </w:rPr>
        <w:t>The following chart summarizes SWU long-term price and SWU and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spot price indicators, as published by TradeTech, LLC in </w:t>
      </w:r>
      <w:r>
        <w:rPr>
          <w:rFonts w:ascii="Times New Roman" w:cs="Times New Roman" w:eastAsia="Times New Roman" w:hAnsi="Times New Roman"/>
          <w:sz w:val="16"/>
          <w:szCs w:val="16"/>
          <w:i w:val="1"/>
          <w:iCs w:val="1"/>
          <w:color w:val="auto"/>
        </w:rPr>
        <w:t>Nuclear Market Review</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SWU and Uranium Market Price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132080</wp:posOffset>
            </wp:positionV>
            <wp:extent cx="4378960" cy="30314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78960" cy="303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 Source: </w:t>
      </w:r>
      <w:r>
        <w:rPr>
          <w:rFonts w:ascii="Times New Roman" w:cs="Times New Roman" w:eastAsia="Times New Roman" w:hAnsi="Times New Roman"/>
          <w:sz w:val="14"/>
          <w:szCs w:val="14"/>
          <w:i w:val="1"/>
          <w:iCs w:val="1"/>
          <w:color w:val="auto"/>
        </w:rPr>
        <w:t>Nuclear Market Review</w:t>
      </w:r>
      <w:r>
        <w:rPr>
          <w:rFonts w:ascii="Times New Roman" w:cs="Times New Roman" w:eastAsia="Times New Roman" w:hAnsi="Times New Roman"/>
          <w:sz w:val="14"/>
          <w:szCs w:val="14"/>
          <w:color w:val="auto"/>
        </w:rPr>
        <w:t>, a TradeTech publication, www.uranium.info</w:t>
      </w:r>
    </w:p>
    <w:p>
      <w:pPr>
        <w:spacing w:after="0" w:line="198" w:lineRule="exact"/>
        <w:rPr>
          <w:sz w:val="20"/>
          <w:szCs w:val="20"/>
          <w:color w:val="auto"/>
        </w:rPr>
      </w:pPr>
    </w:p>
    <w:p>
      <w:pPr>
        <w:ind w:firstLine="191"/>
        <w:spacing w:after="0" w:line="251" w:lineRule="auto"/>
        <w:rPr>
          <w:sz w:val="20"/>
          <w:szCs w:val="20"/>
          <w:color w:val="auto"/>
        </w:rPr>
      </w:pPr>
      <w:r>
        <w:rPr>
          <w:rFonts w:ascii="Times New Roman" w:cs="Times New Roman" w:eastAsia="Times New Roman" w:hAnsi="Times New Roman"/>
          <w:sz w:val="16"/>
          <w:szCs w:val="16"/>
          <w:color w:val="auto"/>
        </w:rPr>
        <w:t>Our contracts with customers are denominated primarily in U.S. dollars, and, although revenue has not been materially affected by changes in the foreign exchange rate of the U.S. dollar, we may have a competitive price advantage or disadvantage in obtaining new contracts in a competitive bidding process depending upon the weakness or strength of the U.S. dollar. Under customer contracts with deliveries from 2023 to 2025 and 2026 to 2030, respectively, payments are denominated in euros, and subject to exchange rate risk. Costs of our primary competitors are denominated in other currencies. Our contracts with suppliers are primarily denominated in U.S. dollars. We have a SWU supply agreement, that commenced in 2023, with prices payable in a combination of U.S. dollars and euros but with a contract-defined exchange rate.</w:t>
      </w:r>
    </w:p>
    <w:p>
      <w:pPr>
        <w:spacing w:after="0" w:line="163" w:lineRule="exact"/>
        <w:rPr>
          <w:sz w:val="20"/>
          <w:szCs w:val="20"/>
          <w:color w:val="auto"/>
        </w:rPr>
      </w:pPr>
    </w:p>
    <w:p>
      <w:pPr>
        <w:ind w:right="280" w:firstLine="191"/>
        <w:spacing w:after="0" w:line="346" w:lineRule="auto"/>
        <w:rPr>
          <w:sz w:val="20"/>
          <w:szCs w:val="20"/>
          <w:color w:val="auto"/>
        </w:rPr>
      </w:pPr>
      <w:r>
        <w:rPr>
          <w:rFonts w:ascii="Times New Roman" w:cs="Times New Roman" w:eastAsia="Times New Roman" w:hAnsi="Times New Roman"/>
          <w:sz w:val="14"/>
          <w:szCs w:val="14"/>
          <w:color w:val="auto"/>
        </w:rPr>
        <w:t>On occasion, we accept payment for SWU in the form of natural uranium hexafluoride. Revenue from the sale of SWU under such contracts is recognized at the time LEU is delivered and is based on the fair value of the natural uranium hexafluoride at contract inception, or as the quantity of natural uranium hexafluoride is finalized, if variable.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00" w:right="339" w:bottom="1440" w:gutter="0" w:footer="0" w:header="0"/>
        </w:sectPr>
      </w:pPr>
    </w:p>
    <w:bookmarkStart w:id="43" w:name="page44"/>
    <w:bookmarkEnd w:id="43"/>
    <w:p>
      <w:pPr>
        <w:jc w:val="both"/>
        <w:ind w:right="40" w:firstLine="191"/>
        <w:spacing w:after="0" w:line="254" w:lineRule="auto"/>
        <w:rPr>
          <w:sz w:val="20"/>
          <w:szCs w:val="20"/>
          <w:color w:val="auto"/>
        </w:rPr>
      </w:pPr>
      <w:r>
        <w:rPr>
          <w:rFonts w:ascii="Times New Roman" w:cs="Times New Roman" w:eastAsia="Times New Roman" w:hAnsi="Times New Roman"/>
          <w:sz w:val="16"/>
          <w:szCs w:val="16"/>
          <w:color w:val="auto"/>
        </w:rPr>
        <w:t>Cost of sales for SWU and uranium is based on the amount of SWU, natural uranium hexafluoride and uranium concentrate sales delivered during the period and unit inventory costs, which are determined using the average cost method. Changes in purchase costs have an effect on inventory costs and cost of sales. Cost of sales includes costs for inventory management at off-site licensed locations as well as certain legacy costs related to former employees of the Portsmouth GDP and Paducah GDP.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Technical Solutions</w:t>
      </w:r>
    </w:p>
    <w:p>
      <w:pPr>
        <w:spacing w:after="0" w:line="189"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Our Technical Solutions segment reflects our technical, manufacturing, engineering, and operations services offered to public and private sector customers, including the American Centrifuge engineering, procurement, construction, manufacturing, and operations services being performed under the HALEU Operation Contract. Subject to the availability of sufficient funding and offtake commitments, our goal is to expand our uranium enrichment capacity to meet the full range of U.S. government and commercial requirements for enriched uranium. With our government and private sector customers, we seek to leverage our domestic enrichment experience as well as our engineering know-how and precision manufacturing facility to assist customers with a range of engineering, design, and advanced manufacturing projects, including the production of fuel-related components for next-generation nuclear reactors and the development of related facilities. We continue to invest in advanced technology because of the potential for future growth into new areas of business for the Company, while also preserving our unique workforce at our Technology and Manufacturing Center in Oak Ridge, Tennessee, and our production facility near Piketon, Ohio.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7"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Segment Information</w:t>
      </w:r>
    </w:p>
    <w:p>
      <w:pPr>
        <w:spacing w:after="0" w:line="189" w:lineRule="exact"/>
        <w:rPr>
          <w:sz w:val="20"/>
          <w:szCs w:val="20"/>
          <w:color w:val="auto"/>
        </w:rPr>
      </w:pPr>
    </w:p>
    <w:p>
      <w:pPr>
        <w:ind w:right="340" w:firstLine="191"/>
        <w:spacing w:after="0" w:line="273" w:lineRule="auto"/>
        <w:rPr>
          <w:sz w:val="20"/>
          <w:szCs w:val="20"/>
          <w:color w:val="auto"/>
        </w:rPr>
      </w:pPr>
      <w:r>
        <w:rPr>
          <w:rFonts w:ascii="Times New Roman" w:cs="Times New Roman" w:eastAsia="Times New Roman" w:hAnsi="Times New Roman"/>
          <w:sz w:val="16"/>
          <w:szCs w:val="16"/>
          <w:color w:val="auto"/>
        </w:rPr>
        <w:t>The following tables present elements of the accompanying Condensed Consolidated Statements of Operations and Comprehensive Income that are categorized by segment (dollar amounts in millions):</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2026 Compared with Three Months Ended March 31, 2025</w:t>
      </w:r>
    </w:p>
    <w:p>
      <w:pPr>
        <w:spacing w:after="0" w:line="2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38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LEU segment</w:t>
            </w: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7"/>
        </w:trPr>
        <w:tc>
          <w:tcPr>
            <w:tcW w:w="384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4"/>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SWU revenue</w:t>
            </w:r>
          </w:p>
        </w:tc>
        <w:tc>
          <w:tcPr>
            <w:tcW w:w="94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7"/>
        </w:trPr>
        <w:tc>
          <w:tcPr>
            <w:tcW w:w="3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Uranium revenue</w:t>
            </w: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74"/>
        </w:trPr>
        <w:tc>
          <w:tcPr>
            <w:tcW w:w="38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9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6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7"/>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99"/>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27.9</w:t>
            </w: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31.2</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r>
        <w:trPr>
          <w:trHeight w:val="143"/>
        </w:trPr>
        <w:tc>
          <w:tcPr>
            <w:tcW w:w="3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8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Technical Solutions segment</w:t>
            </w: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7"/>
        </w:trPr>
        <w:tc>
          <w:tcPr>
            <w:tcW w:w="384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940" w:type="dxa"/>
            <w:vAlign w:val="bottom"/>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40" w:type="dxa"/>
            <w:vAlign w:val="bottom"/>
          </w:tcPr>
          <w:p>
            <w:pPr>
              <w:spacing w:after="0"/>
              <w:rPr>
                <w:sz w:val="15"/>
                <w:szCs w:val="15"/>
                <w:color w:val="auto"/>
              </w:rPr>
            </w:pPr>
          </w:p>
        </w:tc>
        <w:tc>
          <w:tcPr>
            <w:tcW w:w="38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4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47 %</w:t>
            </w:r>
          </w:p>
        </w:tc>
      </w:tr>
      <w:tr>
        <w:trPr>
          <w:trHeight w:val="18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9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42 %</w:t>
            </w:r>
          </w:p>
        </w:tc>
      </w:tr>
      <w:tr>
        <w:trPr>
          <w:trHeight w:val="174"/>
        </w:trPr>
        <w:tc>
          <w:tcPr>
            <w:tcW w:w="3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94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w:t>
            </w:r>
          </w:p>
        </w:tc>
        <w:tc>
          <w:tcPr>
            <w:tcW w:w="140" w:type="dxa"/>
            <w:vAlign w:val="bottom"/>
          </w:tcPr>
          <w:p>
            <w:pPr>
              <w:spacing w:after="0"/>
              <w:rPr>
                <w:sz w:val="15"/>
                <w:szCs w:val="15"/>
                <w:color w:val="auto"/>
              </w:rPr>
            </w:pPr>
          </w:p>
        </w:tc>
        <w:tc>
          <w:tcPr>
            <w:tcW w:w="3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112 %</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163"/>
        </w:trPr>
        <w:tc>
          <w:tcPr>
            <w:tcW w:w="3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9"/>
        </w:trPr>
        <w:tc>
          <w:tcPr>
            <w:tcW w:w="3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94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r>
      <w:tr>
        <w:trPr>
          <w:trHeight w:val="177"/>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12 %</w:t>
            </w:r>
          </w:p>
        </w:tc>
      </w:tr>
      <w:tr>
        <w:trPr>
          <w:trHeight w:val="199"/>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31.5</w:t>
            </w: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32.9</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89" w:lineRule="exact"/>
        <w:rPr>
          <w:sz w:val="20"/>
          <w:szCs w:val="20"/>
          <w:color w:val="auto"/>
        </w:rPr>
      </w:pPr>
    </w:p>
    <w:p>
      <w:pPr>
        <w:ind w:right="240" w:firstLine="191"/>
        <w:spacing w:after="0" w:line="254" w:lineRule="auto"/>
        <w:rPr>
          <w:sz w:val="20"/>
          <w:szCs w:val="20"/>
          <w:color w:val="auto"/>
        </w:rPr>
      </w:pPr>
      <w:r>
        <w:rPr>
          <w:rFonts w:ascii="Times New Roman" w:cs="Times New Roman" w:eastAsia="Times New Roman" w:hAnsi="Times New Roman"/>
          <w:sz w:val="16"/>
          <w:szCs w:val="16"/>
          <w:color w:val="auto"/>
        </w:rPr>
        <w:t>Revenue from the LEU segment was $44.6 million and $51.3 million for the three months ended March 31, 2026 and 2025, respectively, a decrease of $6.7 million (or 13%). SWU revenue decreased by $9.7 million as a result of a 47% decrease in the volume of SWU sold, partially offset by a 52% increase in the average price of SWU sold. The Company had uranium revenue of $3.0 million for the three months ended March 31, 2026.</w:t>
      </w:r>
    </w:p>
    <w:p>
      <w:pPr>
        <w:spacing w:after="0" w:line="169" w:lineRule="exact"/>
        <w:rPr>
          <w:sz w:val="20"/>
          <w:szCs w:val="20"/>
          <w:color w:val="auto"/>
        </w:rPr>
      </w:pPr>
    </w:p>
    <w:p>
      <w:pPr>
        <w:ind w:firstLine="191"/>
        <w:spacing w:after="0" w:line="307" w:lineRule="auto"/>
        <w:rPr>
          <w:sz w:val="20"/>
          <w:szCs w:val="20"/>
          <w:color w:val="auto"/>
        </w:rPr>
      </w:pPr>
      <w:r>
        <w:rPr>
          <w:rFonts w:ascii="Times New Roman" w:cs="Times New Roman" w:eastAsia="Times New Roman" w:hAnsi="Times New Roman"/>
          <w:sz w:val="14"/>
          <w:szCs w:val="14"/>
          <w:color w:val="auto"/>
        </w:rPr>
        <w:t>Revenue from the Technical Solutions segment was $32.1 million and $21.8 million for the three months ended March 31, 2026 and 2025, respectively, an increase of $10.3 million (or 47%). The increase in revenue is primarily attributable to a $9.8 million increase in revenue generated by the HALEU Operation Contract, while the remaining change is related to other contracts. Revenue from the HALEU Operation Contract is recorded on a cost-plus-incentive-fee basis and includes a target fee for Phases 2 and 3 of the contract.</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Cost of Sales</w:t>
      </w:r>
    </w:p>
    <w:p>
      <w:pPr>
        <w:spacing w:after="0" w:line="189" w:lineRule="exact"/>
        <w:rPr>
          <w:sz w:val="20"/>
          <w:szCs w:val="20"/>
          <w:color w:val="auto"/>
        </w:rPr>
      </w:pPr>
    </w:p>
    <w:p>
      <w:pPr>
        <w:ind w:right="120" w:firstLine="191"/>
        <w:spacing w:after="0" w:line="261" w:lineRule="auto"/>
        <w:rPr>
          <w:sz w:val="20"/>
          <w:szCs w:val="20"/>
          <w:color w:val="auto"/>
        </w:rPr>
      </w:pPr>
      <w:r>
        <w:rPr>
          <w:rFonts w:ascii="Times New Roman" w:cs="Times New Roman" w:eastAsia="Times New Roman" w:hAnsi="Times New Roman"/>
          <w:sz w:val="16"/>
          <w:szCs w:val="16"/>
          <w:color w:val="auto"/>
        </w:rPr>
        <w:t>Cost of sales for the LEU segment was $16.7 million and $20.1 million for the three months ended March 31, 2026 and 2025, respectively, a decrease of $3.4 million (or 17%). SWU costs decreased as a result of a 47% decrease in the volume of SWU sold, partially offset by a 45% increase in the average unit cost of SWU sold. Uranium costs increased primarily as a result of an increase in the volume of uranium sold.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45" w:name="page46"/>
    <w:bookmarkEnd w:id="45"/>
    <w:p>
      <w:pPr>
        <w:ind w:right="280" w:firstLine="191"/>
        <w:spacing w:after="0" w:line="254" w:lineRule="auto"/>
        <w:rPr>
          <w:sz w:val="20"/>
          <w:szCs w:val="20"/>
          <w:color w:val="auto"/>
        </w:rPr>
      </w:pPr>
      <w:r>
        <w:rPr>
          <w:rFonts w:ascii="Times New Roman" w:cs="Times New Roman" w:eastAsia="Times New Roman" w:hAnsi="Times New Roman"/>
          <w:sz w:val="16"/>
          <w:szCs w:val="16"/>
          <w:color w:val="auto"/>
        </w:rPr>
        <w:t>Cost of sales for the Technical Solutions segment was $28.5 million and $20.1 million for the three months ended March 31, 2026 and 2025, respectively, an increase of $8.4 million (or 42%). The increase is primarily attributable to an $8.2 million increase in costs incurred under the HALEU Operation Contract, while the remaining change is attributable to other contracts.</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189" w:lineRule="exact"/>
        <w:rPr>
          <w:sz w:val="20"/>
          <w:szCs w:val="20"/>
          <w:color w:val="auto"/>
        </w:rPr>
      </w:pPr>
    </w:p>
    <w:p>
      <w:pPr>
        <w:jc w:val="both"/>
        <w:ind w:right="180" w:firstLine="191"/>
        <w:spacing w:after="0" w:line="252" w:lineRule="auto"/>
        <w:rPr>
          <w:sz w:val="20"/>
          <w:szCs w:val="20"/>
          <w:color w:val="auto"/>
        </w:rPr>
      </w:pPr>
      <w:r>
        <w:rPr>
          <w:rFonts w:ascii="Times New Roman" w:cs="Times New Roman" w:eastAsia="Times New Roman" w:hAnsi="Times New Roman"/>
          <w:sz w:val="16"/>
          <w:szCs w:val="16"/>
          <w:color w:val="auto"/>
        </w:rPr>
        <w:t>Gross profit for the LEU segment was $27.9 million and $31.2 million for the three months ended March 31, 2026 and 2025, respectively, a decrease of $3.3 million (or 11%). LEU customers generally have multi-year contracts that carry annual purchase commitments, not quarterly commitments. The gross profit in our LEU business varies based upon the timing of those contracts. The pricing applied to deliveries varies depending upon the market conditions at the time the contract was signed. The decrease for the three months ended March 31, 2026 was primarily due to the composition of contracts in the current quarter, compared to the prior quarter.</w:t>
      </w:r>
    </w:p>
    <w:p>
      <w:pPr>
        <w:spacing w:after="0" w:line="172"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Gross profit for the Technical Solutions segment was $3.6 million and $1.7 million for the three months ended March 31, 2026 and 2025, respectively, an increase of $1.9 million (or 112%). The increase was primarily attributable to the factors discussed above. Because of the delay in completing Phase 2 of the HALEU Operation Contract, DOE extended the Phase 2 period of performance through January 31, 2026. Costs incurred subsequent to November 2024 have not yet been subject to a fee as this portion of Phase 2 remains undefinitized and is subject to negotiation.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46" w:name="page47"/>
    <w:bookmarkEnd w:id="46"/>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Non-Segment Information</w:t>
      </w:r>
    </w:p>
    <w:p>
      <w:pPr>
        <w:spacing w:after="0" w:line="200" w:lineRule="exact"/>
        <w:rPr>
          <w:sz w:val="20"/>
          <w:szCs w:val="20"/>
          <w:color w:val="auto"/>
        </w:rPr>
      </w:pPr>
    </w:p>
    <w:p>
      <w:pPr>
        <w:ind w:right="100" w:firstLine="191"/>
        <w:spacing w:after="0" w:line="259" w:lineRule="auto"/>
        <w:rPr>
          <w:sz w:val="20"/>
          <w:szCs w:val="20"/>
          <w:color w:val="auto"/>
        </w:rPr>
      </w:pPr>
      <w:r>
        <w:rPr>
          <w:rFonts w:ascii="Times New Roman" w:cs="Times New Roman" w:eastAsia="Times New Roman" w:hAnsi="Times New Roman"/>
          <w:sz w:val="16"/>
          <w:szCs w:val="16"/>
          <w:color w:val="auto"/>
        </w:rPr>
        <w:t>The following tables present elements of the accompanying Condensed Consolidated Statements of Operations and Comprehensive Income that are not categorized by segment (dollar amounts in millions):</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2026 Compared with Three Months Ended March 31, 2025</w:t>
      </w:r>
    </w:p>
    <w:p>
      <w:pPr>
        <w:spacing w:after="0" w:line="2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48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2026</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7"/>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Advanced technology costs</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530 %</w:t>
            </w:r>
          </w:p>
        </w:tc>
      </w:tr>
      <w:tr>
        <w:trPr>
          <w:trHeight w:val="18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r>
      <w:tr>
        <w:trPr>
          <w:trHeight w:val="177"/>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64 %</w:t>
            </w:r>
          </w:p>
        </w:tc>
      </w:tr>
      <w:tr>
        <w:trPr>
          <w:trHeight w:val="17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77"/>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Nonoperating components of net periodic benefit loss</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8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77"/>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(133)%</w:t>
            </w:r>
          </w:p>
        </w:tc>
      </w:tr>
      <w:tr>
        <w:trPr>
          <w:trHeight w:val="18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Extinguishment of long-term debt</w:t>
            </w:r>
          </w:p>
        </w:tc>
        <w:tc>
          <w:tcPr>
            <w:tcW w:w="9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77"/>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expense, net</w:t>
            </w: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200 %</w:t>
            </w:r>
          </w:p>
        </w:tc>
      </w:tr>
      <w:tr>
        <w:trPr>
          <w:trHeight w:val="17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77"/>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99"/>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and comprehensive income</w:t>
            </w: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27.2</w:t>
            </w: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Advanced Technology Costs</w:t>
      </w:r>
    </w:p>
    <w:p>
      <w:pPr>
        <w:spacing w:after="0" w:line="200" w:lineRule="exact"/>
        <w:rPr>
          <w:sz w:val="20"/>
          <w:szCs w:val="20"/>
          <w:color w:val="auto"/>
        </w:rPr>
      </w:pPr>
    </w:p>
    <w:p>
      <w:pPr>
        <w:ind w:right="120" w:firstLine="191"/>
        <w:spacing w:after="0" w:line="247" w:lineRule="auto"/>
        <w:rPr>
          <w:sz w:val="20"/>
          <w:szCs w:val="20"/>
          <w:color w:val="auto"/>
        </w:rPr>
      </w:pPr>
      <w:r>
        <w:rPr>
          <w:rFonts w:ascii="Times New Roman" w:cs="Times New Roman" w:eastAsia="Times New Roman" w:hAnsi="Times New Roman"/>
          <w:sz w:val="16"/>
          <w:szCs w:val="16"/>
          <w:color w:val="auto"/>
        </w:rPr>
        <w:t>Advanced technology costs were $18.9 million and $3.0 million for the three months ended March 31, 2026 and 2025, respectively, an increase of $15.9 million (or 530%). Advanced technology costs consist of American Centrifuge work and related expenses that are outside of our customer contracts in the Technical Solutions segment, including bid and proposal activities and work to improve our enrichment capability. The increase is due to costs associated with our previously announced expansion projects at Oak Ridge and Piketon.</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Investment Income</w:t>
      </w:r>
    </w:p>
    <w:p>
      <w:pPr>
        <w:spacing w:after="0" w:line="200"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Investment income was $17.0 million and $7.3 million for the three months ended March 31, 2026 and 2025, respectively, an increase of $9.7 million (or 133%). The Company’s investment income represents interest earned on operating cash, which is primarily held in money market accounts. The increase was due primarily to a higher cash balance driven by the proceeds from the issuance of the 0% Convertible Notes in August 2025 and proceeds from the issuance of Class A Common Stock under our ATM program in the second and fourth quarters of 2025.</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Extinguishment of Long-Term Debt</w:t>
      </w:r>
    </w:p>
    <w:p>
      <w:pPr>
        <w:spacing w:after="0" w:line="200" w:lineRule="exact"/>
        <w:rPr>
          <w:sz w:val="20"/>
          <w:szCs w:val="20"/>
          <w:color w:val="auto"/>
        </w:rPr>
      </w:pPr>
    </w:p>
    <w:p>
      <w:pPr>
        <w:jc w:val="both"/>
        <w:ind w:right="220" w:firstLine="191"/>
        <w:spacing w:after="0" w:line="254" w:lineRule="auto"/>
        <w:rPr>
          <w:sz w:val="20"/>
          <w:szCs w:val="20"/>
          <w:color w:val="auto"/>
        </w:rPr>
      </w:pPr>
      <w:r>
        <w:rPr>
          <w:rFonts w:ascii="Times New Roman" w:cs="Times New Roman" w:eastAsia="Times New Roman" w:hAnsi="Times New Roman"/>
          <w:sz w:val="16"/>
          <w:szCs w:val="16"/>
          <w:color w:val="auto"/>
        </w:rPr>
        <w:t>Pursuant to a redemption notice, on March 26, 2025, the Company redeemed all of the outstanding 8.25% Notes at a redemption price equal to 100% of the principal amount, together with any accrued and unpaid interest. The Company recorded a gain of $11.8 million related to the extinguishment of the 8.25% Notes in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47" w:name="page48"/>
    <w:bookmarkEnd w:id="47"/>
    <w:p>
      <w:pPr>
        <w:ind w:left="200"/>
        <w:spacing w:after="0"/>
        <w:rPr>
          <w:sz w:val="20"/>
          <w:szCs w:val="20"/>
          <w:color w:val="auto"/>
        </w:rPr>
      </w:pPr>
      <w:r>
        <w:rPr>
          <w:rFonts w:ascii="Times New Roman" w:cs="Times New Roman" w:eastAsia="Times New Roman" w:hAnsi="Times New Roman"/>
          <w:sz w:val="16"/>
          <w:szCs w:val="16"/>
          <w:i w:val="1"/>
          <w:iCs w:val="1"/>
          <w:color w:val="auto"/>
        </w:rPr>
        <w:t>Income Tax Expense</w:t>
      </w:r>
    </w:p>
    <w:p>
      <w:pPr>
        <w:spacing w:after="0" w:line="200"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Income tax expense was $2.5 million and $8.0 million in the three months ended March 31, 2026 and 2025, respectively, a decrease of $5.5 million (or 69%). Income tax expense for both periods resulted from applying the annual effective tax rate to the quarterly income from continuing operations adjusted for discrete items. For more information about the valuation allowance, see Note 14, Income Taxes, in our Consolidated Financial Statements on Form 10-K for the year ended December 31, 2025.</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Net Income and Comprehensive Income</w:t>
      </w:r>
    </w:p>
    <w:p>
      <w:pPr>
        <w:spacing w:after="0" w:line="200" w:lineRule="exact"/>
        <w:rPr>
          <w:sz w:val="20"/>
          <w:szCs w:val="20"/>
          <w:color w:val="auto"/>
        </w:rPr>
      </w:pPr>
    </w:p>
    <w:p>
      <w:pPr>
        <w:ind w:right="100" w:firstLine="191"/>
        <w:spacing w:after="0" w:line="254" w:lineRule="auto"/>
        <w:rPr>
          <w:sz w:val="20"/>
          <w:szCs w:val="20"/>
          <w:color w:val="auto"/>
        </w:rPr>
      </w:pPr>
      <w:r>
        <w:rPr>
          <w:rFonts w:ascii="Times New Roman" w:cs="Times New Roman" w:eastAsia="Times New Roman" w:hAnsi="Times New Roman"/>
          <w:sz w:val="16"/>
          <w:szCs w:val="16"/>
          <w:color w:val="auto"/>
        </w:rPr>
        <w:t>Net income was $10.0 million and $27.2 million for the three months ended March 31, 2026 and 2025, respectively, a decrease of $17.2 million (or 63%). The decrease was primarily attributable to an increase in advanced technology costs of $15.9 million and a decrease in extinguishment of long-term debt of $11.8 million. This was partially offset by an increase of $9.7 million in investment income and a decrease of $5.5 million in income tax expense, as discussed above.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color w:val="auto"/>
        </w:rPr>
        <w:t>Non-GAAP Results of Operations</w:t>
      </w:r>
    </w:p>
    <w:p>
      <w:pPr>
        <w:spacing w:after="0" w:line="200" w:lineRule="exact"/>
        <w:rPr>
          <w:sz w:val="20"/>
          <w:szCs w:val="20"/>
          <w:color w:val="auto"/>
        </w:rPr>
      </w:pPr>
    </w:p>
    <w:p>
      <w:pPr>
        <w:ind w:firstLine="191"/>
        <w:spacing w:after="0" w:line="290" w:lineRule="auto"/>
        <w:rPr>
          <w:sz w:val="20"/>
          <w:szCs w:val="20"/>
          <w:color w:val="auto"/>
        </w:rPr>
      </w:pPr>
      <w:r>
        <w:rPr>
          <w:rFonts w:ascii="Times New Roman" w:cs="Times New Roman" w:eastAsia="Times New Roman" w:hAnsi="Times New Roman"/>
          <w:sz w:val="14"/>
          <w:szCs w:val="14"/>
          <w:color w:val="auto"/>
        </w:rPr>
        <w:t xml:space="preserve">The Company measures Operating Income, Net Income and Net Income per Share both on a GAAP basis and on an adjusted basis (“Adjusted Operating Income”, “Adjusted Net Income” and “Adjusted Net Income per Share”) to exclude short-term, non-capitalizable costs related to the expansion of our operations in Piketon, Ohio and Oak Ridge, Tennessee to scale up uranium enrichment operations (“Growth Costs”) and stock-based compensation. Growth Costs relate to the initial phase of our expansion projects (e.g. manufacturing readiness and the training and onboarding of new employees) and are included as </w:t>
      </w:r>
      <w:r>
        <w:rPr>
          <w:rFonts w:ascii="Times New Roman" w:cs="Times New Roman" w:eastAsia="Times New Roman" w:hAnsi="Times New Roman"/>
          <w:sz w:val="14"/>
          <w:szCs w:val="14"/>
          <w:i w:val="1"/>
          <w:iCs w:val="1"/>
          <w:color w:val="auto"/>
        </w:rPr>
        <w:t>Advanced Technology Costs</w:t>
      </w:r>
      <w:r>
        <w:rPr>
          <w:rFonts w:ascii="Times New Roman" w:cs="Times New Roman" w:eastAsia="Times New Roman" w:hAnsi="Times New Roman"/>
          <w:sz w:val="14"/>
          <w:szCs w:val="14"/>
          <w:color w:val="auto"/>
        </w:rPr>
        <w:t xml:space="preserve"> on the Condensed Consolidated Statements of Operations and Comprehensive Income. The Company expects to stop expensing Growth Costs as costs related to our expansion projects become capitalizable. We incur expense related to stock-based compensation which are included as </w:t>
      </w:r>
      <w:r>
        <w:rPr>
          <w:rFonts w:ascii="Times New Roman" w:cs="Times New Roman" w:eastAsia="Times New Roman" w:hAnsi="Times New Roman"/>
          <w:sz w:val="14"/>
          <w:szCs w:val="14"/>
          <w:i w:val="1"/>
          <w:iCs w:val="1"/>
          <w:color w:val="auto"/>
        </w:rPr>
        <w:t>Selling, General and Administrative</w:t>
      </w:r>
      <w:r>
        <w:rPr>
          <w:rFonts w:ascii="Times New Roman" w:cs="Times New Roman" w:eastAsia="Times New Roman" w:hAnsi="Times New Roman"/>
          <w:sz w:val="14"/>
          <w:szCs w:val="14"/>
          <w:color w:val="auto"/>
        </w:rPr>
        <w:t xml:space="preserve"> expense on the Condensed Consolidated Statements of Operations and Comprehensive Income.</w:t>
      </w:r>
    </w:p>
    <w:p>
      <w:pPr>
        <w:spacing w:after="0" w:line="138" w:lineRule="exact"/>
        <w:rPr>
          <w:sz w:val="20"/>
          <w:szCs w:val="20"/>
          <w:color w:val="auto"/>
        </w:rPr>
      </w:pPr>
    </w:p>
    <w:p>
      <w:pPr>
        <w:ind w:right="160" w:firstLine="191"/>
        <w:spacing w:after="0" w:line="252" w:lineRule="auto"/>
        <w:rPr>
          <w:sz w:val="20"/>
          <w:szCs w:val="20"/>
          <w:color w:val="auto"/>
        </w:rPr>
      </w:pPr>
      <w:r>
        <w:rPr>
          <w:rFonts w:ascii="Times New Roman" w:cs="Times New Roman" w:eastAsia="Times New Roman" w:hAnsi="Times New Roman"/>
          <w:sz w:val="16"/>
          <w:szCs w:val="16"/>
          <w:color w:val="auto"/>
        </w:rPr>
        <w:t>We believe Adjusted Operating Income, Adjusted Net Income and Adjusted Net Income per Share, which are non-GAAP financial measures, provide investors with additional understanding of the Company’s overall financial performance as well as its strategic financial planning analysis and period-to-period comparability. These metrics are useful to investors because they reflect how management evaluates the Company’s ongoing operating performance from period-to-period after removing certain transactions and activities that affect comparability of the metrics and are not reflective of the Company’s core operations.</w:t>
      </w:r>
    </w:p>
    <w:p>
      <w:pPr>
        <w:spacing w:after="0" w:line="172" w:lineRule="exact"/>
        <w:rPr>
          <w:sz w:val="20"/>
          <w:szCs w:val="20"/>
          <w:color w:val="auto"/>
        </w:rPr>
      </w:pPr>
    </w:p>
    <w:p>
      <w:pPr>
        <w:ind w:right="20" w:firstLine="191"/>
        <w:spacing w:after="0" w:line="259" w:lineRule="auto"/>
        <w:rPr>
          <w:sz w:val="20"/>
          <w:szCs w:val="20"/>
          <w:color w:val="auto"/>
        </w:rPr>
      </w:pPr>
      <w:r>
        <w:rPr>
          <w:rFonts w:ascii="Times New Roman" w:cs="Times New Roman" w:eastAsia="Times New Roman" w:hAnsi="Times New Roman"/>
          <w:sz w:val="16"/>
          <w:szCs w:val="16"/>
          <w:color w:val="auto"/>
        </w:rPr>
        <w:t>Our calculation of Adjusted Operating Income, Adjusted Net Income, and Adjusted Net Income per Share may not be comparable to similarly named measures reported by other companies.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9"/>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9"/>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GAAP</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Growth Costs</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3"/>
                <w:szCs w:val="13"/>
                <w:b w:val="1"/>
                <w:bCs w:val="1"/>
                <w:color w:val="auto"/>
                <w:w w:val="99"/>
              </w:rPr>
              <w:t>Stock-Based</w:t>
            </w:r>
          </w:p>
        </w:tc>
        <w:tc>
          <w:tcPr>
            <w:tcW w:w="90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8"/>
              </w:rPr>
              <w:t>Adjusted (Non-</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GAAP</w:t>
            </w: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Growth Costs</w:t>
            </w: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3"/>
                <w:szCs w:val="13"/>
                <w:b w:val="1"/>
                <w:bCs w:val="1"/>
                <w:color w:val="auto"/>
                <w:w w:val="99"/>
              </w:rPr>
              <w:t>Stock-Based</w:t>
            </w:r>
          </w:p>
        </w:tc>
        <w:tc>
          <w:tcPr>
            <w:tcW w:w="9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w w:val="98"/>
              </w:rPr>
              <w:t>Adjusted (Non-</w:t>
            </w: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GAAP)</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60" w:type="dxa"/>
            <w:vAlign w:val="bottom"/>
          </w:tcPr>
          <w:p>
            <w:pPr>
              <w:spacing w:after="0"/>
              <w:rPr>
                <w:sz w:val="14"/>
                <w:szCs w:val="14"/>
                <w:color w:val="auto"/>
              </w:rPr>
            </w:pP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GAAP)</w:t>
            </w:r>
          </w:p>
        </w:tc>
        <w:tc>
          <w:tcPr>
            <w:tcW w:w="0" w:type="dxa"/>
            <w:vAlign w:val="bottom"/>
          </w:tcPr>
          <w:p>
            <w:pPr>
              <w:spacing w:after="0"/>
              <w:rPr>
                <w:sz w:val="1"/>
                <w:szCs w:val="1"/>
                <w:color w:val="auto"/>
              </w:rPr>
            </w:pPr>
          </w:p>
        </w:tc>
      </w:tr>
      <w:tr>
        <w:trPr>
          <w:trHeight w:val="161"/>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0" w:type="dxa"/>
            <w:vAlign w:val="bottom"/>
          </w:tcPr>
          <w:p>
            <w:pPr>
              <w:spacing w:after="0"/>
              <w:rPr>
                <w:sz w:val="1"/>
                <w:szCs w:val="1"/>
                <w:color w:val="auto"/>
              </w:rPr>
            </w:pPr>
          </w:p>
        </w:tc>
      </w:tr>
      <w:tr>
        <w:trPr>
          <w:trHeight w:val="172"/>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Advanced technology costs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8"/>
        </w:trPr>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72"/>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72"/>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Nonoperating components of net periodic benefit loss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68"/>
        </w:trPr>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72"/>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 income</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68"/>
        </w:trPr>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Extinguishment of long-term debt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0" w:type="dxa"/>
            <w:vAlign w:val="bottom"/>
          </w:tcPr>
          <w:p>
            <w:pPr>
              <w:spacing w:after="0"/>
              <w:rPr>
                <w:sz w:val="1"/>
                <w:szCs w:val="1"/>
                <w:color w:val="auto"/>
              </w:rPr>
            </w:pPr>
          </w:p>
        </w:tc>
      </w:tr>
      <w:tr>
        <w:trPr>
          <w:trHeight w:val="172"/>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expense, net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0" w:type="dxa"/>
            <w:vAlign w:val="bottom"/>
          </w:tcPr>
          <w:p>
            <w:pPr>
              <w:spacing w:after="0"/>
              <w:rPr>
                <w:sz w:val="1"/>
                <w:szCs w:val="1"/>
                <w:color w:val="auto"/>
              </w:rPr>
            </w:pPr>
          </w:p>
        </w:tc>
      </w:tr>
      <w:tr>
        <w:trPr>
          <w:trHeight w:val="17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Net income and comprehensive income</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Net income per share: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Basic</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168"/>
        </w:trPr>
        <w:tc>
          <w:tcPr>
            <w:tcW w:w="3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Diluted</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80" w:type="dxa"/>
            <w:vAlign w:val="bottom"/>
          </w:tcPr>
          <w:p>
            <w:pPr>
              <w:spacing w:after="0"/>
              <w:rPr>
                <w:sz w:val="14"/>
                <w:szCs w:val="14"/>
                <w:color w:val="auto"/>
              </w:rPr>
            </w:pP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80" w:type="dxa"/>
            <w:vAlign w:val="bottom"/>
          </w:tcPr>
          <w:p>
            <w:pPr>
              <w:spacing w:after="0"/>
              <w:rPr>
                <w:sz w:val="14"/>
                <w:szCs w:val="14"/>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129"/>
        </w:trPr>
        <w:tc>
          <w:tcPr>
            <w:tcW w:w="328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Average number of common shares outstanding (in</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thousands):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Basic</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16,982</w:t>
            </w:r>
          </w:p>
        </w:tc>
        <w:tc>
          <w:tcPr>
            <w:tcW w:w="0" w:type="dxa"/>
            <w:vAlign w:val="bottom"/>
          </w:tcPr>
          <w:p>
            <w:pPr>
              <w:spacing w:after="0"/>
              <w:rPr>
                <w:sz w:val="1"/>
                <w:szCs w:val="1"/>
                <w:color w:val="auto"/>
              </w:rPr>
            </w:pPr>
          </w:p>
        </w:tc>
      </w:tr>
      <w:tr>
        <w:trPr>
          <w:trHeight w:val="172"/>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Diluted</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17,048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0" w:lineRule="exact"/>
        <w:rPr>
          <w:sz w:val="20"/>
          <w:szCs w:val="20"/>
          <w:color w:val="auto"/>
        </w:rPr>
      </w:pPr>
    </w:p>
    <w:p>
      <w:pPr>
        <w:ind w:right="200" w:firstLine="191"/>
        <w:spacing w:after="0" w:line="248" w:lineRule="auto"/>
        <w:rPr>
          <w:sz w:val="20"/>
          <w:szCs w:val="20"/>
          <w:color w:val="auto"/>
        </w:rPr>
      </w:pPr>
      <w:r>
        <w:rPr>
          <w:rFonts w:ascii="Times New Roman" w:cs="Times New Roman" w:eastAsia="Times New Roman" w:hAnsi="Times New Roman"/>
          <w:sz w:val="16"/>
          <w:szCs w:val="16"/>
          <w:color w:val="auto"/>
        </w:rPr>
        <w:t>As of March 31, 2026, the Company had a consolidated cash and cash equivalents balance of $1.9 billion. The Company anticipates having adequate liquidity to support our business operations for at least the next 12 months from the date of this Quarterly Report on Form 10-Q. Our view of liquidity is dependent on, among other things, conditions affecting our operations, including market, international trade restrictions, sanctions and other conditions, the impact of the Import Ban Act and our ability to obtain additional waivers thereunder, the impact of the Russian Decree and the ability of TENEX to secure export licenses thereunder, the level of expenditures and government funding for our services contracts, and the timing of customer payments. Liquidity requirements for our existing operations are affected primarily by the timing and amount of customer sales and our inventory purchases.</w:t>
      </w:r>
    </w:p>
    <w:p>
      <w:pPr>
        <w:spacing w:after="0" w:line="164" w:lineRule="exact"/>
        <w:rPr>
          <w:sz w:val="20"/>
          <w:szCs w:val="20"/>
          <w:color w:val="auto"/>
        </w:rPr>
      </w:pPr>
    </w:p>
    <w:p>
      <w:pPr>
        <w:jc w:val="both"/>
        <w:ind w:right="180" w:firstLine="191"/>
        <w:spacing w:after="0" w:line="254" w:lineRule="auto"/>
        <w:rPr>
          <w:sz w:val="20"/>
          <w:szCs w:val="20"/>
          <w:color w:val="auto"/>
        </w:rPr>
      </w:pPr>
      <w:r>
        <w:rPr>
          <w:rFonts w:ascii="Times New Roman" w:cs="Times New Roman" w:eastAsia="Times New Roman" w:hAnsi="Times New Roman"/>
          <w:sz w:val="16"/>
          <w:szCs w:val="16"/>
          <w:color w:val="auto"/>
        </w:rPr>
        <w:t>Cash resources and net sales proceeds from our LEU segment fund technology costs that are outside of our customer contracts in the Technical Solutions segment and general corporate expenses, including cash interest payments on our debt. We believe our investment in advanced U.S. uranium enrichment technology will position the Company to meet the needs of our customers as they deploy advanced reactors and require next generation fuels.</w:t>
      </w:r>
    </w:p>
    <w:p>
      <w:pPr>
        <w:spacing w:after="0" w:line="169"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6"/>
          <w:szCs w:val="16"/>
          <w:color w:val="auto"/>
        </w:rPr>
        <w:t>In November 2022, the DOE awarded the HALEU Operation Contract to the Company with an initial base contract value of approximately $150.0 million in two phases through 2024, with three optional periods for up to nine additional years of production beyond the base contract. Those options are at the DOE’s sole discretion and subject to the availability of Congressional appropriations.</w:t>
      </w:r>
    </w:p>
    <w:p>
      <w:pPr>
        <w:spacing w:after="0" w:line="112" w:lineRule="exact"/>
        <w:rPr>
          <w:sz w:val="20"/>
          <w:szCs w:val="20"/>
          <w:color w:val="auto"/>
        </w:rPr>
      </w:pPr>
    </w:p>
    <w:p>
      <w:pPr>
        <w:ind w:right="20" w:firstLine="191"/>
        <w:spacing w:after="0" w:line="256" w:lineRule="auto"/>
        <w:rPr>
          <w:sz w:val="20"/>
          <w:szCs w:val="20"/>
          <w:color w:val="auto"/>
        </w:rPr>
      </w:pPr>
      <w:r>
        <w:rPr>
          <w:rFonts w:ascii="Times New Roman" w:cs="Times New Roman" w:eastAsia="Times New Roman" w:hAnsi="Times New Roman"/>
          <w:sz w:val="15"/>
          <w:szCs w:val="15"/>
          <w:color w:val="auto"/>
        </w:rPr>
        <w:t>In November 2023, the Company announced that it made its first contractual delivery of HALEU UF</w:t>
      </w:r>
      <w:r>
        <w:rPr>
          <w:rFonts w:ascii="Times New Roman" w:cs="Times New Roman" w:eastAsia="Times New Roman" w:hAnsi="Times New Roman"/>
          <w:sz w:val="19"/>
          <w:szCs w:val="19"/>
          <w:color w:val="auto"/>
          <w:vertAlign w:val="subscript"/>
        </w:rPr>
        <w:t>6</w:t>
      </w:r>
      <w:r>
        <w:rPr>
          <w:rFonts w:ascii="Times New Roman" w:cs="Times New Roman" w:eastAsia="Times New Roman" w:hAnsi="Times New Roman"/>
          <w:sz w:val="15"/>
          <w:szCs w:val="15"/>
          <w:color w:val="auto"/>
        </w:rPr>
        <w:t xml:space="preserve"> to the DOE, completing Phase 1. During November 2023, the Company transitioned to Phase 2 of the HALEU Operation Contract, which included production of 900 kilograms of HALEU UF</w:t>
      </w:r>
      <w:r>
        <w:rPr>
          <w:rFonts w:ascii="Times New Roman" w:cs="Times New Roman" w:eastAsia="Times New Roman" w:hAnsi="Times New Roman"/>
          <w:sz w:val="19"/>
          <w:szCs w:val="19"/>
          <w:color w:val="auto"/>
          <w:vertAlign w:val="subscript"/>
        </w:rPr>
        <w:t>6</w:t>
      </w:r>
      <w:r>
        <w:rPr>
          <w:rFonts w:ascii="Times New Roman" w:cs="Times New Roman" w:eastAsia="Times New Roman" w:hAnsi="Times New Roman"/>
          <w:sz w:val="15"/>
          <w:szCs w:val="15"/>
          <w:color w:val="auto"/>
        </w:rPr>
        <w:t xml:space="preserve"> for one production year, as well as continued operations and maintenance of the cascade. Phase 2 included an initial contract value of approximately $90.0 million and compensation on a cost-plus-incentive-fee-basis. The DOE owns the HALEU produced from the demonstration cascade. The DOE extended the HALEU Operation Contract Phase 2 period of performance through January 31, 2026 to allow the Company to complete outstanding change orders. As of March 31, 2026, the Phase 2 contract value and related funding is approximately $170.1 million. The Company also is performing additional work on infrastructure and facility repairs and costs associated with 5B Cylinder refurbishment under contract modifications.</w:t>
      </w:r>
    </w:p>
    <w:p>
      <w:pPr>
        <w:spacing w:after="0" w:line="160" w:lineRule="exact"/>
        <w:rPr>
          <w:sz w:val="20"/>
          <w:szCs w:val="20"/>
          <w:color w:val="auto"/>
        </w:rPr>
      </w:pPr>
    </w:p>
    <w:p>
      <w:pPr>
        <w:jc w:val="both"/>
        <w:ind w:right="160" w:firstLine="191"/>
        <w:spacing w:after="0" w:line="252" w:lineRule="auto"/>
        <w:rPr>
          <w:sz w:val="20"/>
          <w:szCs w:val="20"/>
          <w:color w:val="auto"/>
        </w:rPr>
      </w:pPr>
      <w:r>
        <w:rPr>
          <w:rFonts w:ascii="Times New Roman" w:cs="Times New Roman" w:eastAsia="Times New Roman" w:hAnsi="Times New Roman"/>
          <w:sz w:val="16"/>
          <w:szCs w:val="16"/>
          <w:color w:val="auto"/>
        </w:rPr>
        <w:t>The HALEU Operation Contract also gives DOE the ability to exercise three optional periods to contract for up to nine additional years of production from the cascade beyond the base contract; those options are at the DOE’s sole discretion and subject to the availability of Congressional appropriations. On June 17, 2025, the DOE exercised Option 1a of Phase 3 of the HALEU Operation Contract with a period of performance extending through June 30, 2026. Option 1a of Phase 3 of the HALEU Operation Contract has a contract value and related funding of $108.2 million.</w:t>
      </w:r>
    </w:p>
    <w:p>
      <w:pPr>
        <w:spacing w:after="0" w:line="172" w:lineRule="exact"/>
        <w:rPr>
          <w:sz w:val="20"/>
          <w:szCs w:val="20"/>
          <w:color w:val="auto"/>
        </w:rPr>
      </w:pPr>
    </w:p>
    <w:p>
      <w:pPr>
        <w:ind w:right="40" w:firstLine="191"/>
        <w:spacing w:after="0" w:line="247" w:lineRule="auto"/>
        <w:rPr>
          <w:sz w:val="20"/>
          <w:szCs w:val="20"/>
          <w:color w:val="auto"/>
        </w:rPr>
      </w:pPr>
      <w:r>
        <w:rPr>
          <w:rFonts w:ascii="Times New Roman" w:cs="Times New Roman" w:eastAsia="Times New Roman" w:hAnsi="Times New Roman"/>
          <w:sz w:val="16"/>
          <w:szCs w:val="16"/>
          <w:color w:val="auto"/>
        </w:rPr>
        <w:t>On January 5, 2026, the DOE announced that Centrus subsidiary, ACO, was awarded a $900.0 million task order to expand its uranium enrichment facility in Piketon, Ohio, to include commercial-scale production of HALEU. The award also includes options, at the DOE’s discretion, for up to an additional $170.0 million to produce and deliver HALEU to the DOE. The task order is subject to negotiation of a definitive agreement and there are no guarantees about whether or when funding by the DOE for such expansion would be awarded.</w:t>
      </w:r>
    </w:p>
    <w:p>
      <w:pPr>
        <w:spacing w:after="0" w:line="176" w:lineRule="exact"/>
        <w:rPr>
          <w:sz w:val="20"/>
          <w:szCs w:val="20"/>
          <w:color w:val="auto"/>
        </w:rPr>
      </w:pPr>
    </w:p>
    <w:p>
      <w:pPr>
        <w:jc w:val="both"/>
        <w:ind w:right="20" w:firstLine="191"/>
        <w:spacing w:after="0" w:line="252" w:lineRule="auto"/>
        <w:rPr>
          <w:sz w:val="20"/>
          <w:szCs w:val="20"/>
          <w:color w:val="auto"/>
        </w:rPr>
      </w:pPr>
      <w:r>
        <w:rPr>
          <w:rFonts w:ascii="Times New Roman" w:cs="Times New Roman" w:eastAsia="Times New Roman" w:hAnsi="Times New Roman"/>
          <w:sz w:val="16"/>
          <w:szCs w:val="16"/>
          <w:color w:val="auto"/>
        </w:rPr>
        <w:t xml:space="preserve">Although the Company believes demand for HALEU will emerge over the next several years, there are no guarantees about whether or when government or commercial demand for HALEU will materialize, and there are a number of technical, regulatory, and economic hurdles that must be overcome for these fuels and the reactors that will use these fuels to come to market. For further discussion,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our Annual Report on Form 10-K for the year ended December 31, 2025 and under Part II, Item 1A, </w:t>
      </w:r>
      <w:r>
        <w:rPr>
          <w:rFonts w:ascii="Times New Roman" w:cs="Times New Roman" w:eastAsia="Times New Roman" w:hAnsi="Times New Roman"/>
          <w:sz w:val="16"/>
          <w:szCs w:val="16"/>
          <w:i w:val="1"/>
          <w:iCs w:val="1"/>
          <w:color w:val="auto"/>
        </w:rPr>
        <w:t xml:space="preserve">Risk Factors </w:t>
      </w:r>
      <w:r>
        <w:rPr>
          <w:rFonts w:ascii="Times New Roman" w:cs="Times New Roman" w:eastAsia="Times New Roman" w:hAnsi="Times New Roman"/>
          <w:sz w:val="16"/>
          <w:szCs w:val="16"/>
          <w:color w:val="auto"/>
        </w:rPr>
        <w:t>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0" w:name="page51"/>
    <w:bookmarkEnd w:id="50"/>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If funding of gas centrifuge technology by the U.S. government is reduced or discontinued, or we are not awarded the option to continue to operate the cascade or expand it, such actions may have a material adverse impact on our ability to deploy the American Centrifuge technology and on our liquidity. If funding under U.S. federal government programs or contracts and subcontracts, including under the HALEU Operation Contract, HALEU Deconversion Contract, or HALEU Production Contract, is delayed, reduced or terminated, as a result of the changes in the prevailing policies and budgetary priorities of the incumbent administration or otherwise, it could have a material adverse impact on our operations, including our ability to deploy the American Centrifuge technology.</w:t>
      </w:r>
    </w:p>
    <w:p>
      <w:pPr>
        <w:spacing w:after="0" w:line="174" w:lineRule="exact"/>
        <w:rPr>
          <w:sz w:val="20"/>
          <w:szCs w:val="20"/>
          <w:color w:val="auto"/>
        </w:rPr>
      </w:pPr>
    </w:p>
    <w:p>
      <w:pPr>
        <w:ind w:right="40" w:firstLine="191"/>
        <w:spacing w:after="0" w:line="300" w:lineRule="auto"/>
        <w:rPr>
          <w:sz w:val="20"/>
          <w:szCs w:val="20"/>
          <w:color w:val="auto"/>
        </w:rPr>
      </w:pPr>
      <w:r>
        <w:rPr>
          <w:rFonts w:ascii="Times New Roman" w:cs="Times New Roman" w:eastAsia="Times New Roman" w:hAnsi="Times New Roman"/>
          <w:sz w:val="14"/>
          <w:szCs w:val="14"/>
          <w:color w:val="auto"/>
        </w:rPr>
        <w:t xml:space="preserve">Further, any sanctions or other restrictions, including the Import Ban Act banning LEU imports from Russia and the Russian Decree prohibiting LEU exports out of Russia in the absence of a license, represent a significant risk to our business as we rely on the TENEX Supply Contract as a significant supply source to meet our delivery obligations. Such restrictions on LEU imports to the U.S. or exports from Russia could have a material impact on our operations and liquidity. For further discussion, please refer to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our Annual Report on Form 10-K for the year ended December 31, 2025 and under Part II, Item 1A,</w:t>
      </w:r>
      <w:r>
        <w:rPr>
          <w:rFonts w:ascii="Times New Roman" w:cs="Times New Roman" w:eastAsia="Times New Roman" w:hAnsi="Times New Roman"/>
          <w:sz w:val="14"/>
          <w:szCs w:val="14"/>
          <w:i w:val="1"/>
          <w:iCs w:val="1"/>
          <w:color w:val="auto"/>
        </w:rPr>
        <w:t xml:space="preserve"> Risk Factors </w:t>
      </w:r>
      <w:r>
        <w:rPr>
          <w:rFonts w:ascii="Times New Roman" w:cs="Times New Roman" w:eastAsia="Times New Roman" w:hAnsi="Times New Roman"/>
          <w:sz w:val="14"/>
          <w:szCs w:val="14"/>
          <w:color w:val="auto"/>
        </w:rPr>
        <w:t>of this Quarterly Report on Form 10-Q.</w:t>
      </w:r>
    </w:p>
    <w:p>
      <w:pPr>
        <w:spacing w:after="0" w:line="129" w:lineRule="exact"/>
        <w:rPr>
          <w:sz w:val="20"/>
          <w:szCs w:val="20"/>
          <w:color w:val="auto"/>
        </w:rPr>
      </w:pPr>
    </w:p>
    <w:p>
      <w:pPr>
        <w:ind w:right="240" w:firstLine="191"/>
        <w:spacing w:after="0" w:line="261" w:lineRule="auto"/>
        <w:rPr>
          <w:sz w:val="20"/>
          <w:szCs w:val="20"/>
          <w:color w:val="auto"/>
        </w:rPr>
      </w:pPr>
      <w:r>
        <w:rPr>
          <w:rFonts w:ascii="Times New Roman" w:cs="Times New Roman" w:eastAsia="Times New Roman" w:hAnsi="Times New Roman"/>
          <w:sz w:val="16"/>
          <w:szCs w:val="16"/>
          <w:color w:val="auto"/>
        </w:rPr>
        <w:t>We expect to increase our capital expenditures by approximately several hundred million, driven by ongoing investments and a strategic shift towards our manufacturing readiness plan and Ohio expansion. We expect that our strong liquidity position will support our capital expenditures, although we are monitoring inflationary pressures that may affect the cost of materials and equipment.</w:t>
      </w:r>
    </w:p>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Expansion of Manufacturing Capacity in Oak Ridge, Tennessee</w:t>
      </w:r>
    </w:p>
    <w:p>
      <w:pPr>
        <w:spacing w:after="0" w:line="200" w:lineRule="exact"/>
        <w:rPr>
          <w:sz w:val="20"/>
          <w:szCs w:val="20"/>
          <w:color w:val="auto"/>
        </w:rPr>
      </w:pPr>
    </w:p>
    <w:p>
      <w:pPr>
        <w:ind w:right="20" w:firstLine="127"/>
        <w:spacing w:after="0" w:line="248" w:lineRule="auto"/>
        <w:rPr>
          <w:sz w:val="20"/>
          <w:szCs w:val="20"/>
          <w:color w:val="auto"/>
        </w:rPr>
      </w:pPr>
      <w:r>
        <w:rPr>
          <w:rFonts w:ascii="Times New Roman" w:cs="Times New Roman" w:eastAsia="Times New Roman" w:hAnsi="Times New Roman"/>
          <w:sz w:val="16"/>
          <w:szCs w:val="16"/>
          <w:color w:val="auto"/>
        </w:rPr>
        <w:t>On November 20, 2024, the Company announced the resumption of centrifuge manufacturing activities and expanding its manufacturing capacity at our facility in Oak Ridge, Tennessee. The Company is investing $60.0 million over an 18 month period which lays the groundwork to support a potential large-scale expansion of uranium enrichment in Piketon, Ohio. This was followed with an announcement on January 23, 2026 that the Company plans to invest more than $560.0 million over the next several years to transition the facility to a high-rate manufacturing plant and support the production of thousands of advanced centrifuges in Oak Ridge, Tennessee. The first new centrifuges produced in Oak Ridge are expected to come online in Ohio in 2029.</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Expansion of Uranium Enrichment Capacity in Piketon, Ohio</w:t>
      </w:r>
    </w:p>
    <w:p>
      <w:pPr>
        <w:spacing w:after="0" w:line="189" w:lineRule="exact"/>
        <w:rPr>
          <w:sz w:val="20"/>
          <w:szCs w:val="20"/>
          <w:color w:val="auto"/>
        </w:rPr>
      </w:pPr>
    </w:p>
    <w:p>
      <w:pPr>
        <w:ind w:right="280" w:firstLine="191"/>
        <w:spacing w:after="0" w:line="273" w:lineRule="auto"/>
        <w:rPr>
          <w:sz w:val="20"/>
          <w:szCs w:val="20"/>
          <w:color w:val="auto"/>
        </w:rPr>
      </w:pPr>
      <w:r>
        <w:rPr>
          <w:rFonts w:ascii="Times New Roman" w:cs="Times New Roman" w:eastAsia="Times New Roman" w:hAnsi="Times New Roman"/>
          <w:sz w:val="16"/>
          <w:szCs w:val="16"/>
          <w:color w:val="auto"/>
        </w:rPr>
        <w:t>On September 25, 2025, Centrus announced plans for a major expansion of its uranium capacity in Piketon, Ohio, including plans for large-scale production of both LEU and HALEU to meet commercial and government requirements.</w:t>
      </w:r>
    </w:p>
    <w:p>
      <w:pPr>
        <w:spacing w:after="0" w:line="144"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In December 2025, the Company initiated design work on a 150,000 square foot training, operations and maintenance facility in Piketon, Ohio – a critical piece of site infrastructure necessary to support the Company's plans for a major expansion of its uranium enrichment capacity in Piketon. The project involves a significant renovation and rehabilitation of an existing, largely vacant building on the site of the American Centrifuge Plant in Piketon, Ohio. Construction activities began in early 2026. The facility is expected to include a mix of office space, training facilities, and maintenance bays to support plant operations. Also in December 2025, the Company began domestic centrifuge manufacturing to support commercial LEU enrichment activities at the Piketon, Ohio, facility. This strategic move enables the Company to capitalize on its many first-mover advantages in U.S.-owned domestic uranium enrichment, and marks one of the most consequential transformations in the Company's and the United States' uranium enrichment history. Centrus plans to leverage its multi-billion-dollar uranium enrichment expansion to meet its growing backlog of $2.4 billion in contingent LEU sales to U.S. and international customer contracts, and targets future commercial-scale production of HALEU, as well.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51" w:name="page52"/>
    <w:bookmarkEnd w:id="51"/>
    <w:p>
      <w:pPr>
        <w:ind w:right="120" w:firstLine="191"/>
        <w:spacing w:after="0" w:line="254" w:lineRule="auto"/>
        <w:rPr>
          <w:sz w:val="20"/>
          <w:szCs w:val="20"/>
          <w:color w:val="auto"/>
        </w:rPr>
      </w:pPr>
      <w:r>
        <w:rPr>
          <w:rFonts w:ascii="Times New Roman" w:cs="Times New Roman" w:eastAsia="Times New Roman" w:hAnsi="Times New Roman"/>
          <w:sz w:val="16"/>
          <w:szCs w:val="16"/>
          <w:color w:val="auto"/>
        </w:rPr>
        <w:t>In March 2026, Centrus announced a partnership with Palantir to apply Palantir’s artificial intelligence (“AI”)-driven software tools in support of the American Centrifuge Plant expansion. Through this partnership, Centrus is leveraging Palantir’s Foundry and Artificial Intelligence Platform to integrate disparate systems across classified and unclassified environments and utilize AI to optimize project controls, engineering, manufacturing execution, supply chain management, and regulatory compliance.</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Clean Energy Credit</w:t>
      </w:r>
    </w:p>
    <w:p>
      <w:pPr>
        <w:spacing w:after="0" w:line="189" w:lineRule="exact"/>
        <w:rPr>
          <w:sz w:val="20"/>
          <w:szCs w:val="20"/>
          <w:color w:val="auto"/>
        </w:rPr>
      </w:pPr>
    </w:p>
    <w:p>
      <w:pPr>
        <w:ind w:right="20" w:firstLine="127"/>
        <w:spacing w:after="0" w:line="248" w:lineRule="auto"/>
        <w:rPr>
          <w:sz w:val="20"/>
          <w:szCs w:val="20"/>
          <w:color w:val="auto"/>
        </w:rPr>
      </w:pPr>
      <w:r>
        <w:rPr>
          <w:rFonts w:ascii="Times New Roman" w:cs="Times New Roman" w:eastAsia="Times New Roman" w:hAnsi="Times New Roman"/>
          <w:sz w:val="16"/>
          <w:szCs w:val="16"/>
          <w:color w:val="auto"/>
        </w:rPr>
        <w:t>The Qualifying Advanced Energy Project Credit (“§48C”) was established by the American Recovery and Reinvestment Act of 2009 and renewed and expanded under the IRA. The §48C program aims to strengthen U.S. industrial competitiveness and clean energy supply chains. As the nation builds a net-zero economy, the §48C tax credit program aims to play a critical role to create high-quality jobs, reduce industrial emissions, and increase domestic production of critical clean energy products and materials. The IRA provided $10.0 billion in new funding under §48C(e), with at least $4.0 billion reserved for projects in certain energy communities with closed coal mines or retired coal-fired power plants, to allocate credits to projects in three categories: (1) clean energy manufacturing and recycling, (2) industrial decarbonization, and (3) critical materials refining, processing, and recycling.</w:t>
      </w:r>
    </w:p>
    <w:p>
      <w:pPr>
        <w:spacing w:after="0" w:line="175" w:lineRule="exact"/>
        <w:rPr>
          <w:sz w:val="20"/>
          <w:szCs w:val="20"/>
          <w:color w:val="auto"/>
        </w:rPr>
      </w:pPr>
    </w:p>
    <w:p>
      <w:pPr>
        <w:ind w:firstLine="127"/>
        <w:spacing w:after="0" w:line="248" w:lineRule="auto"/>
        <w:rPr>
          <w:sz w:val="20"/>
          <w:szCs w:val="20"/>
          <w:color w:val="auto"/>
        </w:rPr>
      </w:pPr>
      <w:r>
        <w:rPr>
          <w:rFonts w:ascii="Times New Roman" w:cs="Times New Roman" w:eastAsia="Times New Roman" w:hAnsi="Times New Roman"/>
          <w:sz w:val="16"/>
          <w:szCs w:val="16"/>
          <w:color w:val="auto"/>
        </w:rPr>
        <w:t>On October 18, 2024, the Company submitted an application for a clean energy manufacturing and recycling project associated with re-equipping our manufacturing property at our manufacturing facility in Oak Ridge. This would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IRS granted our request for a $62.4 million credit allocation for this facility. Centrus now has two years from that date to provide evidence that the requirements of the credit have been met thus certifying our credit allocation. Upon certification of our credit allocation, the Company then has two years from that date to notify the DOE that the qualified investment in eligible property is placed in service to receive the credit allocation.</w:t>
      </w:r>
    </w:p>
    <w:p>
      <w:pPr>
        <w:spacing w:after="0" w:line="175" w:lineRule="exact"/>
        <w:rPr>
          <w:sz w:val="20"/>
          <w:szCs w:val="20"/>
          <w:color w:val="auto"/>
        </w:rPr>
      </w:pPr>
    </w:p>
    <w:p>
      <w:pPr>
        <w:ind w:right="60" w:firstLine="127"/>
        <w:spacing w:after="0" w:line="247" w:lineRule="auto"/>
        <w:rPr>
          <w:sz w:val="20"/>
          <w:szCs w:val="20"/>
          <w:color w:val="auto"/>
        </w:rPr>
      </w:pPr>
      <w:r>
        <w:rPr>
          <w:rFonts w:ascii="Times New Roman" w:cs="Times New Roman" w:eastAsia="Times New Roman" w:hAnsi="Times New Roman"/>
          <w:sz w:val="16"/>
          <w:szCs w:val="16"/>
          <w:color w:val="auto"/>
        </w:rPr>
        <w:t>Section 6418 was added to the Internal Revenue Code as part of the IRA and allows certain eligible taxpayers to elect to transfer certain clean energy tax credits to unrelated taxpayers for cash rather than use the credits to offset their U.S. federal income tax liability. The Company expects that we will be able to monetize all credit allocations received from §48C by transferring them to unrelated taxpayers for cash. It is unclear how the January 20, 2025 Executive Order 14154, “Unleashing American Energy,” will impact the IRS determination regarding our application request.</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Potential Transactions</w:t>
      </w:r>
    </w:p>
    <w:p>
      <w:pPr>
        <w:spacing w:after="0" w:line="189" w:lineRule="exact"/>
        <w:rPr>
          <w:sz w:val="20"/>
          <w:szCs w:val="20"/>
          <w:color w:val="auto"/>
        </w:rPr>
      </w:pPr>
    </w:p>
    <w:p>
      <w:pPr>
        <w:ind w:right="240" w:firstLine="191"/>
        <w:spacing w:after="0" w:line="252" w:lineRule="auto"/>
        <w:rPr>
          <w:sz w:val="20"/>
          <w:szCs w:val="20"/>
          <w:color w:val="auto"/>
        </w:rPr>
      </w:pPr>
      <w:r>
        <w:rPr>
          <w:rFonts w:ascii="Times New Roman" w:cs="Times New Roman" w:eastAsia="Times New Roman" w:hAnsi="Times New Roman"/>
          <w:sz w:val="16"/>
          <w:szCs w:val="16"/>
          <w:color w:val="auto"/>
        </w:rPr>
        <w:t>We are also actively considering and expect to consider potential strategic transactions from time to time, which at any given time may be in various stages of discussion, diligence, or negotiation. These could involve, without limitation, acquisitions and/or dispositions of businesses or assets, joint ventures or investments in businesses, products or technologies, or changes to our capital structure. In connection with any such transaction, we would seek to satisfy these needs through a combination of working capital, cash generated from operations, or additional debt or equity financing.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52" w:name="page53"/>
    <w:bookmarkEnd w:id="52"/>
    <w:p>
      <w:pPr>
        <w:ind w:left="200"/>
        <w:spacing w:after="0"/>
        <w:rPr>
          <w:sz w:val="20"/>
          <w:szCs w:val="20"/>
          <w:color w:val="auto"/>
        </w:rPr>
      </w:pPr>
      <w:r>
        <w:rPr>
          <w:rFonts w:ascii="Times New Roman" w:cs="Times New Roman" w:eastAsia="Times New Roman" w:hAnsi="Times New Roman"/>
          <w:sz w:val="16"/>
          <w:szCs w:val="16"/>
          <w:i w:val="1"/>
          <w:iCs w:val="1"/>
          <w:color w:val="auto"/>
        </w:rPr>
        <w:t>Cash Flow</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change in cash, cash equivalents and restricted cash from our Condensed Consolidated Statements of Cash Flows are as follows on a summarized basis (in millions):</w:t>
      </w:r>
    </w:p>
    <w:p>
      <w:pPr>
        <w:spacing w:after="0" w:line="2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040" w:type="dxa"/>
            <w:vAlign w:val="bottom"/>
            <w:tcBorders>
              <w:bottom w:val="single" w:sz="8" w:color="auto"/>
            </w:tcBorders>
          </w:tcPr>
          <w:p>
            <w:pPr>
              <w:spacing w:after="0"/>
              <w:rPr>
                <w:sz w:val="14"/>
                <w:szCs w:val="14"/>
                <w:color w:val="auto"/>
              </w:rPr>
            </w:pPr>
          </w:p>
        </w:tc>
      </w:tr>
      <w:tr>
        <w:trPr>
          <w:trHeight w:val="170"/>
        </w:trPr>
        <w:tc>
          <w:tcPr>
            <w:tcW w:w="69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provided by operating activities</w:t>
            </w: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r>
      <w:tr>
        <w:trPr>
          <w:trHeight w:val="177"/>
        </w:trPr>
        <w:tc>
          <w:tcPr>
            <w:tcW w:w="6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8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financing activities</w:t>
            </w: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r>
      <w:tr>
        <w:trPr>
          <w:trHeight w:val="177"/>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9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99"/>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Decrease in cash, cash equivalents and restricted cash</w:t>
            </w: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(58.9)</w:t>
            </w: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89" w:lineRule="exact"/>
        <w:rPr>
          <w:sz w:val="20"/>
          <w:szCs w:val="20"/>
          <w:color w:val="auto"/>
        </w:rPr>
      </w:pPr>
    </w:p>
    <w:p>
      <w:pPr>
        <w:ind w:right="140" w:firstLine="191"/>
        <w:spacing w:after="0" w:line="252" w:lineRule="auto"/>
        <w:rPr>
          <w:sz w:val="20"/>
          <w:szCs w:val="20"/>
          <w:color w:val="auto"/>
        </w:rPr>
      </w:pPr>
      <w:r>
        <w:rPr>
          <w:rFonts w:ascii="Times New Roman" w:cs="Times New Roman" w:eastAsia="Times New Roman" w:hAnsi="Times New Roman"/>
          <w:sz w:val="16"/>
          <w:szCs w:val="16"/>
          <w:color w:val="auto"/>
        </w:rPr>
        <w:t>For the three months ended March 31, 2026, net cash used by operating activities was $35.1 million. The net decrease was primarily due to approximately $76.2 million of disbursements for operations, of which approximately $63.7 million relates to both payments for LEU inventory deliveries and cash outflows for the Technical Solutions segment, with the remaining disbursements being for corporate administration, benefits claims, and advanced technology costs. These cash outflows were partially offset by approximately $48.4 million in cash collected from customers and investment income.</w:t>
      </w:r>
    </w:p>
    <w:p>
      <w:pPr>
        <w:spacing w:after="0" w:line="172" w:lineRule="exact"/>
        <w:rPr>
          <w:sz w:val="20"/>
          <w:szCs w:val="20"/>
          <w:color w:val="auto"/>
        </w:rPr>
      </w:pPr>
    </w:p>
    <w:p>
      <w:pPr>
        <w:ind w:right="60" w:firstLine="191"/>
        <w:spacing w:after="0" w:line="252" w:lineRule="auto"/>
        <w:rPr>
          <w:sz w:val="20"/>
          <w:szCs w:val="20"/>
          <w:color w:val="auto"/>
        </w:rPr>
      </w:pPr>
      <w:r>
        <w:rPr>
          <w:rFonts w:ascii="Times New Roman" w:cs="Times New Roman" w:eastAsia="Times New Roman" w:hAnsi="Times New Roman"/>
          <w:sz w:val="16"/>
          <w:szCs w:val="16"/>
          <w:color w:val="auto"/>
        </w:rPr>
        <w:t>For the three months ended March 31, 2025, net cash provided by operating activities was $36.5 million. The net increase was primarily due to approximately $123.0 million in cash collected from customers and investment income. These cash inflows were partially offset by approximately $87.0 million of disbursements for operations, of which approximately $59.0 million relates to both payments for LEU inventory deliveries and cash outflows for the Technical Solutions segment, with the remaining disbursements being for corporate administration, benefits claims, and advanced technology costs.</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Capital expenditures were $23.2 million and $2.1 million for the three months ended March 31, 2026 and 2025, respectively.</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200"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For the three months ended March 31, 2025, cash of $25.2 million was provided from the net proceeds related to the issuance of 258,197 shares of Class A Common Stock under ATM offerings.</w:t>
      </w:r>
    </w:p>
    <w:p>
      <w:pPr>
        <w:spacing w:after="0" w:line="144" w:lineRule="exact"/>
        <w:rPr>
          <w:sz w:val="20"/>
          <w:szCs w:val="20"/>
          <w:color w:val="auto"/>
        </w:rPr>
      </w:pPr>
    </w:p>
    <w:p>
      <w:pPr>
        <w:ind w:right="340" w:firstLine="191"/>
        <w:spacing w:after="0" w:line="273" w:lineRule="auto"/>
        <w:rPr>
          <w:sz w:val="20"/>
          <w:szCs w:val="20"/>
          <w:color w:val="auto"/>
        </w:rPr>
      </w:pPr>
      <w:r>
        <w:rPr>
          <w:rFonts w:ascii="Times New Roman" w:cs="Times New Roman" w:eastAsia="Times New Roman" w:hAnsi="Times New Roman"/>
          <w:sz w:val="16"/>
          <w:szCs w:val="16"/>
          <w:color w:val="auto"/>
        </w:rPr>
        <w:t>Pursuant to a redemption notice, on March 26, 2025, the Company redeemed all 8.25% Notes at a redemption price equal to 100% of the principal amount of $74.3 million, together with any accrued and unpaid interest. Refer to Note 6</w:t>
      </w:r>
      <w:r>
        <w:rPr>
          <w:rFonts w:ascii="Times New Roman" w:cs="Times New Roman" w:eastAsia="Times New Roman" w:hAnsi="Times New Roman"/>
          <w:sz w:val="16"/>
          <w:szCs w:val="16"/>
          <w:i w:val="1"/>
          <w:iCs w:val="1"/>
          <w:color w:val="auto"/>
        </w:rPr>
        <w:t>, Debt,</w:t>
      </w:r>
      <w:r>
        <w:rPr>
          <w:rFonts w:ascii="Times New Roman" w:cs="Times New Roman" w:eastAsia="Times New Roman" w:hAnsi="Times New Roman"/>
          <w:sz w:val="16"/>
          <w:szCs w:val="16"/>
          <w:color w:val="auto"/>
        </w:rPr>
        <w:t xml:space="preserve"> of the Financial Statements regarding the accounting for the 8.25% Notes.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53" w:name="page54"/>
    <w:bookmarkEnd w:id="53"/>
    <w:p>
      <w:pPr>
        <w:ind w:left="200"/>
        <w:spacing w:after="0"/>
        <w:rPr>
          <w:sz w:val="20"/>
          <w:szCs w:val="20"/>
          <w:color w:val="auto"/>
        </w:rPr>
      </w:pPr>
      <w:r>
        <w:rPr>
          <w:rFonts w:ascii="Times New Roman" w:cs="Times New Roman" w:eastAsia="Times New Roman" w:hAnsi="Times New Roman"/>
          <w:sz w:val="16"/>
          <w:szCs w:val="16"/>
          <w:i w:val="1"/>
          <w:iCs w:val="1"/>
          <w:color w:val="auto"/>
        </w:rPr>
        <w:t>Working Capital</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summarizes the Company’s working capital (in millions):</w:t>
      </w:r>
    </w:p>
    <w:p>
      <w:pPr>
        <w:spacing w:after="0" w:line="89" w:lineRule="exact"/>
        <w:rPr>
          <w:sz w:val="20"/>
          <w:szCs w:val="20"/>
          <w:color w:val="auto"/>
        </w:rPr>
      </w:pPr>
    </w:p>
    <w:tbl>
      <w:tblPr>
        <w:tblLayout w:type="fixed"/>
        <w:tblInd w:w="84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2"/>
                <w:szCs w:val="12"/>
                <w:color w:val="auto"/>
              </w:rPr>
            </w:pPr>
          </w:p>
        </w:tc>
        <w:tc>
          <w:tcPr>
            <w:tcW w:w="124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9"/>
        </w:trPr>
        <w:tc>
          <w:tcPr>
            <w:tcW w:w="66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2"/>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1,957.2</w:t>
            </w:r>
          </w:p>
        </w:tc>
      </w:tr>
      <w:tr>
        <w:trPr>
          <w:trHeight w:val="177"/>
        </w:trPr>
        <w:tc>
          <w:tcPr>
            <w:tcW w:w="6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r>
      <w:tr>
        <w:trPr>
          <w:trHeight w:val="184"/>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 net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w:t>
            </w:r>
          </w:p>
        </w:tc>
      </w:tr>
      <w:tr>
        <w:trPr>
          <w:trHeight w:val="177"/>
        </w:trPr>
        <w:tc>
          <w:tcPr>
            <w:tcW w:w="6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revenue and advances from customers, net of deferred costs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w:t>
            </w:r>
          </w:p>
        </w:tc>
      </w:tr>
      <w:tr>
        <w:trPr>
          <w:trHeight w:val="180"/>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assets and liabilities, net</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w:t>
            </w:r>
          </w:p>
        </w:tc>
      </w:tr>
      <w:tr>
        <w:trPr>
          <w:trHeight w:val="174"/>
        </w:trPr>
        <w:tc>
          <w:tcPr>
            <w:tcW w:w="664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Working capital</w:t>
            </w: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1,894.1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1,940.8</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191"/>
        <w:spacing w:after="0" w:line="251" w:lineRule="auto"/>
        <w:rPr>
          <w:sz w:val="20"/>
          <w:szCs w:val="20"/>
          <w:color w:val="auto"/>
        </w:rPr>
      </w:pPr>
      <w:r>
        <w:rPr>
          <w:rFonts w:ascii="Times New Roman" w:cs="Times New Roman" w:eastAsia="Times New Roman" w:hAnsi="Times New Roman"/>
          <w:sz w:val="16"/>
          <w:szCs w:val="16"/>
          <w:color w:val="auto"/>
        </w:rPr>
        <w:t>We are managing our working capital to seek to improve the long-term value of our LEU and Technical Solutions segments because we believe these uses of working capital are in the best interest of all stakeholders. We expect that any other uses of working capital will be undertaken in light of these strategic priorities and will be based on the Company’s determination as to the relative strength of its operating performance and prospects, financial position, and expected liquidity requirements. In addition, we expect that any such other uses of working capital will be subject to compliance with contractual restrictions to which the Company and its subsidiaries are subject. We continually evaluate alternatives to manage our capital structure and may opportunistically repurchase, exchange, or redeem Company securities from time to time.</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Convertible Notes</w:t>
      </w:r>
    </w:p>
    <w:p>
      <w:pPr>
        <w:spacing w:after="0" w:line="200" w:lineRule="exact"/>
        <w:rPr>
          <w:sz w:val="20"/>
          <w:szCs w:val="20"/>
          <w:color w:val="auto"/>
        </w:rPr>
      </w:pPr>
    </w:p>
    <w:p>
      <w:pPr>
        <w:jc w:val="both"/>
        <w:ind w:right="120" w:firstLine="191"/>
        <w:spacing w:after="0" w:line="254" w:lineRule="auto"/>
        <w:rPr>
          <w:sz w:val="20"/>
          <w:szCs w:val="20"/>
          <w:color w:val="auto"/>
        </w:rPr>
      </w:pPr>
      <w:r>
        <w:rPr>
          <w:rFonts w:ascii="Times New Roman" w:cs="Times New Roman" w:eastAsia="Times New Roman" w:hAnsi="Times New Roman"/>
          <w:sz w:val="16"/>
          <w:szCs w:val="16"/>
          <w:color w:val="auto"/>
        </w:rPr>
        <w:t>On November 7, 2024, the Company issued 2.25% Convertible Notes with an aggregate principal amount of $402.5 million, due November 1, 2030, unless earlier repurchased, redeemed or converted. The 2.25% Convertible Notes bear interest at an annual rate of 2.25%, payable semi-annually in arrears on May 1 and November 1 of each year, beginning on May 1, 2025. The Company incurred approximately $13.8 million in issuance costs for the issuance of the 2.25% Convertible Notes.</w:t>
      </w:r>
    </w:p>
    <w:p>
      <w:pPr>
        <w:spacing w:after="0" w:line="169" w:lineRule="exact"/>
        <w:rPr>
          <w:sz w:val="20"/>
          <w:szCs w:val="20"/>
          <w:color w:val="auto"/>
        </w:rPr>
      </w:pPr>
    </w:p>
    <w:p>
      <w:pPr>
        <w:ind w:right="140" w:firstLine="191"/>
        <w:spacing w:after="0" w:line="254" w:lineRule="auto"/>
        <w:rPr>
          <w:sz w:val="20"/>
          <w:szCs w:val="20"/>
          <w:color w:val="auto"/>
        </w:rPr>
      </w:pPr>
      <w:r>
        <w:rPr>
          <w:rFonts w:ascii="Times New Roman" w:cs="Times New Roman" w:eastAsia="Times New Roman" w:hAnsi="Times New Roman"/>
          <w:sz w:val="16"/>
          <w:szCs w:val="16"/>
          <w:color w:val="auto"/>
        </w:rPr>
        <w:t>On August 18, 2025, the Company issued 0% Convertible Notes with an aggregate principal amount of $805.0 million, due August 15, 2032, unless earlier repurchased, redeemed or converted. The 0% Convertible Notes do not bear regular interest, and the principal amount of the notes will not accrete. The Company incurred approximately $22.5 million in issuance costs for the issuance of the 0% Convertible Notes.</w:t>
      </w:r>
    </w:p>
    <w:p>
      <w:pPr>
        <w:spacing w:after="0" w:line="159"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 xml:space="preserve">There are no required principal payments prior to the maturity of the 2.25% Convertible Notes or 0% Convertible Notes. The proceeds from the 2.25% Convertible Notes and the 0% Convertible Notes have been or will be used for general working capital and corporate purposes, which may include investment in technology development or deployment, repayment or repurchase of outstanding debt, capital expenditures, potential acquisitions and other business opportunities and purposes. Additional terms and conditions of the 0% Convertible Notes are described in Note 6,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of the Financial Statements.</w:t>
      </w:r>
    </w:p>
    <w:p>
      <w:pPr>
        <w:spacing w:after="0" w:line="172" w:lineRule="exact"/>
        <w:rPr>
          <w:sz w:val="20"/>
          <w:szCs w:val="20"/>
          <w:color w:val="auto"/>
        </w:rPr>
      </w:pPr>
    </w:p>
    <w:p>
      <w:pPr>
        <w:ind w:right="20" w:firstLine="191"/>
        <w:spacing w:after="0" w:line="254" w:lineRule="auto"/>
        <w:rPr>
          <w:sz w:val="20"/>
          <w:szCs w:val="20"/>
          <w:color w:val="auto"/>
        </w:rPr>
      </w:pPr>
      <w:r>
        <w:rPr>
          <w:rFonts w:ascii="Times New Roman" w:cs="Times New Roman" w:eastAsia="Times New Roman" w:hAnsi="Times New Roman"/>
          <w:sz w:val="16"/>
          <w:szCs w:val="16"/>
          <w:color w:val="auto"/>
        </w:rPr>
        <w:t>For calendar quarters in which the Convertible Notes became convertible at the option of the holders, the Company provided notice to the holders of the Convertible Notes that the notes became convertible beginning on the first day of the respective subsequent quarter, and ending at the close of business on the last day of said quarter. As of April 30, 2026, no notes were converted during those periods.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54" w:name="page55"/>
    <w:bookmarkEnd w:id="54"/>
    <w:p>
      <w:pPr>
        <w:ind w:left="200"/>
        <w:spacing w:after="0"/>
        <w:rPr>
          <w:sz w:val="20"/>
          <w:szCs w:val="20"/>
          <w:color w:val="auto"/>
        </w:rPr>
      </w:pPr>
      <w:r>
        <w:rPr>
          <w:rFonts w:ascii="Times New Roman" w:cs="Times New Roman" w:eastAsia="Times New Roman" w:hAnsi="Times New Roman"/>
          <w:sz w:val="16"/>
          <w:szCs w:val="16"/>
          <w:i w:val="1"/>
          <w:iCs w:val="1"/>
          <w:color w:val="auto"/>
        </w:rPr>
        <w:t>8.25% Notes</w:t>
      </w:r>
    </w:p>
    <w:p>
      <w:pPr>
        <w:spacing w:after="0" w:line="200" w:lineRule="exact"/>
        <w:rPr>
          <w:sz w:val="20"/>
          <w:szCs w:val="20"/>
          <w:color w:val="auto"/>
        </w:rPr>
      </w:pPr>
    </w:p>
    <w:p>
      <w:pPr>
        <w:ind w:right="180" w:firstLine="191"/>
        <w:spacing w:after="0" w:line="254" w:lineRule="auto"/>
        <w:rPr>
          <w:sz w:val="20"/>
          <w:szCs w:val="20"/>
          <w:color w:val="auto"/>
        </w:rPr>
      </w:pPr>
      <w:r>
        <w:rPr>
          <w:rFonts w:ascii="Times New Roman" w:cs="Times New Roman" w:eastAsia="Times New Roman" w:hAnsi="Times New Roman"/>
          <w:sz w:val="16"/>
          <w:szCs w:val="16"/>
          <w:color w:val="auto"/>
        </w:rPr>
        <w:t xml:space="preserve">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to </w:t>
      </w:r>
      <w:r>
        <w:rPr>
          <w:rFonts w:ascii="Times New Roman" w:cs="Times New Roman" w:eastAsia="Times New Roman" w:hAnsi="Times New Roman"/>
          <w:sz w:val="16"/>
          <w:szCs w:val="16"/>
          <w:i w:val="1"/>
          <w:iCs w:val="1"/>
          <w:color w:val="auto"/>
        </w:rPr>
        <w:t>Extinguishment of Long-Term Debt</w:t>
      </w:r>
      <w:r>
        <w:rPr>
          <w:rFonts w:ascii="Times New Roman" w:cs="Times New Roman" w:eastAsia="Times New Roman" w:hAnsi="Times New Roman"/>
          <w:sz w:val="16"/>
          <w:szCs w:val="16"/>
          <w:color w:val="auto"/>
        </w:rPr>
        <w:t xml:space="preserve"> in the Condensed Consolidated Statements of Operations.</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2025 Shelf Registration</w:t>
      </w:r>
    </w:p>
    <w:p>
      <w:pPr>
        <w:spacing w:after="0" w:line="200"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Company filed an automatic shelf registration statement on Form S-3 (File No. 333-291305) with the SEC on November 6, 2025, which became effective on November 6, 2025, and was supplemented by a prospectus supplement dated November 6, 2025. Pursuant to this shelf registration statement, the Company may offer and sell up to $1.0 billion in securities, in aggregate. The Company retains broad discretion over the use of the net proceeds from the sale of the securities offered.</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Common Stock Issuance</w:t>
      </w:r>
    </w:p>
    <w:p>
      <w:pPr>
        <w:spacing w:after="0" w:line="189" w:lineRule="exact"/>
        <w:rPr>
          <w:sz w:val="20"/>
          <w:szCs w:val="20"/>
          <w:color w:val="auto"/>
        </w:rPr>
      </w:pPr>
    </w:p>
    <w:p>
      <w:pPr>
        <w:ind w:right="60" w:firstLine="191"/>
        <w:spacing w:after="0" w:line="252" w:lineRule="auto"/>
        <w:rPr>
          <w:sz w:val="20"/>
          <w:szCs w:val="20"/>
          <w:color w:val="auto"/>
        </w:rPr>
      </w:pPr>
      <w:r>
        <w:rPr>
          <w:rFonts w:ascii="Times New Roman" w:cs="Times New Roman" w:eastAsia="Times New Roman" w:hAnsi="Times New Roman"/>
          <w:sz w:val="16"/>
          <w:szCs w:val="16"/>
          <w:color w:val="auto"/>
        </w:rPr>
        <w:t>Pursuant to a sales agreement with its agents, the Company sold an aggregate of 258,197 shares of its Class A Common Stock at the market price in the three months ended March 31, 2025 for a total of $26.1 million. After expenses and commissions paid to the agents, the Company’s proceeds totaled $25.4 million in the three months ended March 31, 2025. Additionally, the Company recorded direct costs of $0.1 million in the three months ended March 31, 2025 related to the issuance. The Company did not issue any shares of its Class A Common Stock under an ATM offering in the three months ended March 31, 2026.</w:t>
      </w:r>
    </w:p>
    <w:p>
      <w:pPr>
        <w:spacing w:after="0" w:line="172" w:lineRule="exact"/>
        <w:rPr>
          <w:sz w:val="20"/>
          <w:szCs w:val="20"/>
          <w:color w:val="auto"/>
        </w:rPr>
      </w:pPr>
    </w:p>
    <w:p>
      <w:pPr>
        <w:ind w:right="260" w:firstLine="191"/>
        <w:spacing w:after="0" w:line="254" w:lineRule="auto"/>
        <w:rPr>
          <w:sz w:val="20"/>
          <w:szCs w:val="20"/>
          <w:color w:val="auto"/>
        </w:rPr>
      </w:pPr>
      <w:r>
        <w:rPr>
          <w:rFonts w:ascii="Times New Roman" w:cs="Times New Roman" w:eastAsia="Times New Roman" w:hAnsi="Times New Roman"/>
          <w:sz w:val="16"/>
          <w:szCs w:val="16"/>
          <w:color w:val="auto"/>
        </w:rPr>
        <w:t>The shares of Class A Common Stock were issued pursuant to the Company’s 2023 shelf registration statement on Form S-3 (File No. 333-272984), which was filed with the SEC on June 28, 2023 and became effective on July 10, 2023. This filing was supplemented by prospectus supplements dated February 9, 2024 and May 9, 2025, respectively. Pursuant to this shelf registration statement, the Company may offer and sell up to an aggregate of $200.0 million in securities.</w:t>
      </w:r>
    </w:p>
    <w:p>
      <w:pPr>
        <w:spacing w:after="0" w:line="169" w:lineRule="exact"/>
        <w:rPr>
          <w:sz w:val="20"/>
          <w:szCs w:val="20"/>
          <w:color w:val="auto"/>
        </w:rPr>
      </w:pPr>
    </w:p>
    <w:p>
      <w:pPr>
        <w:jc w:val="both"/>
        <w:ind w:right="580" w:firstLine="191"/>
        <w:spacing w:after="0" w:line="247" w:lineRule="auto"/>
        <w:rPr>
          <w:sz w:val="20"/>
          <w:szCs w:val="20"/>
          <w:color w:val="auto"/>
        </w:rPr>
      </w:pPr>
      <w:r>
        <w:rPr>
          <w:rFonts w:ascii="Times New Roman" w:cs="Times New Roman" w:eastAsia="Times New Roman" w:hAnsi="Times New Roman"/>
          <w:sz w:val="16"/>
          <w:szCs w:val="16"/>
          <w:color w:val="auto"/>
        </w:rPr>
        <w:t>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investment in technology development and deployment, repayment of indebtedness, potential acquisitions and other business opportunities. Pending any specific application, the Company may initially invest funds in short-term marketable securities or apply them to the reduction of indebtedness.</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Contractual Commitments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have been no material changes to our contractual commitments from those discussed in our Annual Report on Form 10-K for the year ended December 31, 2025.</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DOE Technology License</w:t>
      </w:r>
    </w:p>
    <w:p>
      <w:pPr>
        <w:spacing w:after="0" w:line="200"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We have a non-exclusive license in DOE inventions that pertain to enriching uranium using gas centrifuge technology. The license agreement with DOE provides for annual royalty payments based on a varying percentage (1% up to 2%) of our annual revenues from sales of the SWU component of LEU produced by us using DOE centrifuge technology. There is a minimum annual royalty payment of $100,000 and the maximum cumulative royalty over the life of the license is $100.0 million. There is currently no commercial enrichment facility producing LEU using DOE centrifuge technology. We are continuing to advance our U.S. centrifuge technology that has evolved from DOE inventions at specialized facilities in Oak Ridge, Tennessee with a view to deploying a commercial enrichment facility over the long term.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55" w:name="page56"/>
    <w:bookmarkEnd w:id="55"/>
    <w:p>
      <w:pPr>
        <w:ind w:left="200"/>
        <w:spacing w:after="0"/>
        <w:rPr>
          <w:sz w:val="20"/>
          <w:szCs w:val="20"/>
          <w:color w:val="auto"/>
        </w:rPr>
      </w:pPr>
      <w:r>
        <w:rPr>
          <w:rFonts w:ascii="Times New Roman" w:cs="Times New Roman" w:eastAsia="Times New Roman" w:hAnsi="Times New Roman"/>
          <w:sz w:val="16"/>
          <w:szCs w:val="16"/>
          <w:i w:val="1"/>
          <w:iCs w:val="1"/>
          <w:color w:val="auto"/>
        </w:rPr>
        <w:t>Off-Balance Sheet Arrangements</w:t>
      </w:r>
    </w:p>
    <w:p>
      <w:pPr>
        <w:spacing w:after="0" w:line="200" w:lineRule="exact"/>
        <w:rPr>
          <w:sz w:val="20"/>
          <w:szCs w:val="20"/>
          <w:color w:val="auto"/>
        </w:rPr>
      </w:pPr>
    </w:p>
    <w:p>
      <w:pPr>
        <w:ind w:right="220" w:firstLine="191"/>
        <w:spacing w:after="0" w:line="259" w:lineRule="auto"/>
        <w:rPr>
          <w:sz w:val="20"/>
          <w:szCs w:val="20"/>
          <w:color w:val="auto"/>
        </w:rPr>
      </w:pPr>
      <w:r>
        <w:rPr>
          <w:rFonts w:ascii="Times New Roman" w:cs="Times New Roman" w:eastAsia="Times New Roman" w:hAnsi="Times New Roman"/>
          <w:sz w:val="16"/>
          <w:szCs w:val="16"/>
          <w:color w:val="auto"/>
        </w:rPr>
        <w:t>Other than our SWU purchase commitments and the license agreement with DOE relating to the American Centrifuge technology, there were no material off-balance sheet arrangements at March 31,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87" w:lineRule="exact"/>
        <w:rPr>
          <w:sz w:val="20"/>
          <w:szCs w:val="20"/>
          <w:color w:val="auto"/>
        </w:rPr>
      </w:pPr>
    </w:p>
    <w:p>
      <w:pPr>
        <w:ind w:right="240" w:firstLine="191"/>
        <w:spacing w:after="0" w:line="275" w:lineRule="auto"/>
        <w:rPr>
          <w:sz w:val="20"/>
          <w:szCs w:val="20"/>
          <w:color w:val="auto"/>
        </w:rPr>
      </w:pPr>
      <w:r>
        <w:rPr>
          <w:rFonts w:ascii="Times New Roman" w:cs="Times New Roman" w:eastAsia="Times New Roman" w:hAnsi="Times New Roman"/>
          <w:sz w:val="16"/>
          <w:szCs w:val="16"/>
          <w:color w:val="auto"/>
        </w:rPr>
        <w:t xml:space="preserve">There have been no significant changes to the critical accounting estimates disclosed in Part II, Item 7, </w:t>
      </w:r>
      <w:r>
        <w:rPr>
          <w:rFonts w:ascii="Times New Roman" w:cs="Times New Roman" w:eastAsia="Times New Roman" w:hAnsi="Times New Roman"/>
          <w:sz w:val="16"/>
          <w:szCs w:val="16"/>
          <w:i w:val="1"/>
          <w:iCs w:val="1"/>
          <w:color w:val="auto"/>
        </w:rPr>
        <w:t>Management’s Discussion and Analysis of Financial Condition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Results of Operations, </w:t>
      </w:r>
      <w:r>
        <w:rPr>
          <w:rFonts w:ascii="Times New Roman" w:cs="Times New Roman" w:eastAsia="Times New Roman" w:hAnsi="Times New Roman"/>
          <w:sz w:val="16"/>
          <w:szCs w:val="16"/>
          <w:color w:val="auto"/>
        </w:rPr>
        <w:t>in our Annual Report on Form 10-K for the year ended December 31, 2025.</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3. </w:t>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have been no material changes to our market risks from those discussed in our Annual Report on Form 10-K for the year ended December 31, 2025.</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4. </w:t>
      </w:r>
      <w:r>
        <w:rPr>
          <w:rFonts w:ascii="Times New Roman" w:cs="Times New Roman" w:eastAsia="Times New Roman" w:hAnsi="Times New Roman"/>
          <w:sz w:val="16"/>
          <w:szCs w:val="16"/>
          <w:b w:val="1"/>
          <w:bCs w:val="1"/>
          <w:i w:val="1"/>
          <w:iCs w:val="1"/>
          <w:color w:val="auto"/>
        </w:rPr>
        <w:t>Controls and Procedures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200" w:lineRule="exact"/>
        <w:rPr>
          <w:sz w:val="20"/>
          <w:szCs w:val="20"/>
          <w:color w:val="auto"/>
        </w:rPr>
      </w:pPr>
    </w:p>
    <w:p>
      <w:pPr>
        <w:ind w:right="20" w:firstLine="191"/>
        <w:spacing w:after="0" w:line="307" w:lineRule="auto"/>
        <w:rPr>
          <w:sz w:val="20"/>
          <w:szCs w:val="20"/>
          <w:color w:val="auto"/>
        </w:rPr>
      </w:pPr>
      <w:r>
        <w:rPr>
          <w:rFonts w:ascii="Times New Roman" w:cs="Times New Roman" w:eastAsia="Times New Roman" w:hAnsi="Times New Roman"/>
          <w:sz w:val="14"/>
          <w:szCs w:val="14"/>
          <w:color w:val="auto"/>
        </w:rPr>
        <w:t>Centrus maintains disclosure controls and procedures that are designed to ensure that information required to be disclosed by Centrus in reports it files or submits under the Exchange Act is recorded, processed, summarized and reported in the time periods specified in the SEC’s rules and forms and that such information is accumulated and communicated to management, including the Chief Executive Officer and the Chief Financial Officer, as appropriate to allow for timely decisions regarding required disclosures.</w:t>
      </w:r>
    </w:p>
    <w:p>
      <w:pPr>
        <w:spacing w:after="0" w:line="136"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As of March 31, 2026, the end of the period covered by this Quarterly Report on Form 10-Q, our management performed an evaluation, under the supervision and with the participation of the Chief Executive Officer and the Chief Financial Officer, of the effectiveness of our disclosure controls and procedures (as defined in Rule 13a-15(e) under the Exchange Act). Based on this evaluation, the Chief Executive Officer and the Chief Financial Officer concluded that the Company’s disclosure controls and procedures were effective.</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200" w:lineRule="exact"/>
        <w:rPr>
          <w:sz w:val="20"/>
          <w:szCs w:val="20"/>
          <w:color w:val="auto"/>
        </w:rPr>
      </w:pPr>
    </w:p>
    <w:p>
      <w:pPr>
        <w:ind w:right="380" w:firstLine="191"/>
        <w:spacing w:after="0" w:line="259"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755" w:right="53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 </w:t>
      </w:r>
      <w:r>
        <w:rPr>
          <w:rFonts w:ascii="Times New Roman" w:cs="Times New Roman" w:eastAsia="Times New Roman" w:hAnsi="Times New Roman"/>
          <w:sz w:val="16"/>
          <w:szCs w:val="16"/>
          <w:b w:val="1"/>
          <w:bCs w:val="1"/>
          <w:i w:val="1"/>
          <w:iCs w:val="1"/>
          <w:color w:val="auto"/>
        </w:rPr>
        <w:t>Legal Proceedings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Refer to Note 11</w:t>
      </w:r>
      <w:r>
        <w:rPr>
          <w:rFonts w:ascii="Times New Roman" w:cs="Times New Roman" w:eastAsia="Times New Roman" w:hAnsi="Times New Roman"/>
          <w:sz w:val="16"/>
          <w:szCs w:val="16"/>
          <w:i w:val="1"/>
          <w:iCs w:val="1"/>
          <w:color w:val="auto"/>
        </w:rPr>
        <w:t>, Commitments and Contingencies — Legal Matters,</w:t>
      </w:r>
      <w:r>
        <w:rPr>
          <w:rFonts w:ascii="Times New Roman" w:cs="Times New Roman" w:eastAsia="Times New Roman" w:hAnsi="Times New Roman"/>
          <w:sz w:val="16"/>
          <w:szCs w:val="16"/>
          <w:color w:val="auto"/>
        </w:rPr>
        <w:t xml:space="preserve"> of our Financial Statements in Part I of this Quarterly Report on Form 10-Q.</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1A. </w:t>
      </w:r>
      <w:r>
        <w:rPr>
          <w:rFonts w:ascii="Times New Roman" w:cs="Times New Roman" w:eastAsia="Times New Roman" w:hAnsi="Times New Roman"/>
          <w:sz w:val="16"/>
          <w:szCs w:val="16"/>
          <w:b w:val="1"/>
          <w:bCs w:val="1"/>
          <w:i w:val="1"/>
          <w:iCs w:val="1"/>
          <w:color w:val="auto"/>
        </w:rPr>
        <w:t>Risk Factors</w:t>
      </w:r>
    </w:p>
    <w:p>
      <w:pPr>
        <w:spacing w:after="0" w:line="189" w:lineRule="exact"/>
        <w:rPr>
          <w:sz w:val="20"/>
          <w:szCs w:val="20"/>
          <w:color w:val="auto"/>
        </w:rPr>
      </w:pPr>
    </w:p>
    <w:p>
      <w:pPr>
        <w:ind w:right="240" w:firstLine="191"/>
        <w:spacing w:after="0" w:line="273" w:lineRule="auto"/>
        <w:rPr>
          <w:sz w:val="20"/>
          <w:szCs w:val="20"/>
          <w:color w:val="auto"/>
        </w:rPr>
      </w:pPr>
      <w:r>
        <w:rPr>
          <w:rFonts w:ascii="Times New Roman" w:cs="Times New Roman" w:eastAsia="Times New Roman" w:hAnsi="Times New Roman"/>
          <w:sz w:val="16"/>
          <w:szCs w:val="16"/>
          <w:color w:val="auto"/>
        </w:rPr>
        <w:t>Except as set forth below, there have been no material changes to the Risk Factors described in Part I, Item 1A, Risk Factors, in our Annual Report on Form 10-K for the year ended December 31,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integrating AI technologies into our operations, including through strategic partnerships, which may present business, compliance, regulatory and reputational risks.</w:t>
      </w:r>
    </w:p>
    <w:p>
      <w:pPr>
        <w:spacing w:after="0" w:line="223" w:lineRule="exact"/>
        <w:rPr>
          <w:sz w:val="20"/>
          <w:szCs w:val="20"/>
          <w:color w:val="auto"/>
        </w:rPr>
      </w:pPr>
    </w:p>
    <w:p>
      <w:pPr>
        <w:ind w:right="280" w:firstLine="191"/>
        <w:spacing w:after="0" w:line="246" w:lineRule="auto"/>
        <w:rPr>
          <w:sz w:val="20"/>
          <w:szCs w:val="20"/>
          <w:color w:val="auto"/>
        </w:rPr>
      </w:pPr>
      <w:r>
        <w:rPr>
          <w:rFonts w:ascii="Times New Roman" w:cs="Times New Roman" w:eastAsia="Times New Roman" w:hAnsi="Times New Roman"/>
          <w:sz w:val="16"/>
          <w:szCs w:val="16"/>
          <w:color w:val="auto"/>
        </w:rPr>
        <w:t>We and our business partners are increasingly incorporating AI-driven software tools across various aspects of the Company's operations and business functions, including to streamline workflows and optimize key business processes. While we believe the adoption of AI-driven technologies will enhance our operational efficiency and competitive positioning, these technologies involve significant risks and uncertainties that may not yield corresponding benefits, and may exacerbate other risks. Flaws, biases, errors, misconfigurations or malfunctions in AI-driven systems could result in operational disruptions or could result in unintended, unexpected, or otherwise unforeseen adverse consequences, including data loss, corruption or the generation of outputs that appear correct but are inaccurate or misleading. Such failures could include potential breaches of contracts, security protocols, unauthorized disclosure of sensitive or classified information and noncompliance with applicable governmental and defense-related or third party requirements.</w:t>
      </w:r>
    </w:p>
    <w:p>
      <w:pPr>
        <w:spacing w:after="0" w:line="176" w:lineRule="exact"/>
        <w:rPr>
          <w:sz w:val="20"/>
          <w:szCs w:val="20"/>
          <w:color w:val="auto"/>
        </w:rPr>
      </w:pPr>
    </w:p>
    <w:p>
      <w:pPr>
        <w:ind w:firstLine="191"/>
        <w:spacing w:after="0" w:line="290" w:lineRule="auto"/>
        <w:rPr>
          <w:sz w:val="20"/>
          <w:szCs w:val="20"/>
          <w:color w:val="auto"/>
        </w:rPr>
      </w:pPr>
      <w:r>
        <w:rPr>
          <w:rFonts w:ascii="Times New Roman" w:cs="Times New Roman" w:eastAsia="Times New Roman" w:hAnsi="Times New Roman"/>
          <w:sz w:val="14"/>
          <w:szCs w:val="14"/>
          <w:color w:val="auto"/>
        </w:rPr>
        <w:t>In addition, AI technologies could be improperly utilized by our employees or by personnel of our business partners, potentially leading to the unauthorized use or disclosure of confidential, proprietary or classified information or unintended, unexpected, or otherwise unforeseen adverse consequences, which could harm our reputation and expose us to significant legal, regulatory and contractual liability. AI also presents a new attack surface that cyber threat actors may exploit to scale and automate targeted cyberattacks. The regulatory environment governing AI technologies remains uncertain and developments in regulatory frameworks may adversely affect our ability to use AI technologies, subject us to enhanced governmental or regulatory scrutiny, litigation or enforcement actions or require us to make significant changes to our operations. Our reliance on business partners also subjects us to risks associated with each partner’s ability to comply with applicable legal and regulatory requirements and maintain the security and integrity of its systems.</w:t>
      </w:r>
    </w:p>
    <w:p>
      <w:pPr>
        <w:spacing w:after="0" w:line="138" w:lineRule="exact"/>
        <w:rPr>
          <w:sz w:val="20"/>
          <w:szCs w:val="20"/>
          <w:color w:val="auto"/>
        </w:rPr>
      </w:pPr>
    </w:p>
    <w:p>
      <w:pPr>
        <w:ind w:right="120" w:firstLine="191"/>
        <w:spacing w:after="0" w:line="261" w:lineRule="auto"/>
        <w:rPr>
          <w:sz w:val="20"/>
          <w:szCs w:val="20"/>
          <w:color w:val="auto"/>
        </w:rPr>
      </w:pPr>
      <w:r>
        <w:rPr>
          <w:rFonts w:ascii="Times New Roman" w:cs="Times New Roman" w:eastAsia="Times New Roman" w:hAnsi="Times New Roman"/>
          <w:sz w:val="16"/>
          <w:szCs w:val="16"/>
          <w:color w:val="auto"/>
        </w:rPr>
        <w:t>If we fail to successfully integrate AI into our business processes or fail to keep pace with rapidly evolving AI technological developments, we may face competitive disadvantages or experience disruptions to our operations or other unintended, unexpected, or otherwise unforeseen adverse consequences. Any of the foregoing risks could have a material adverse effect on our business, reputation, financial condition, results of operations and prospects.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5. </w:t>
      </w:r>
      <w:r>
        <w:rPr>
          <w:rFonts w:ascii="Times New Roman" w:cs="Times New Roman" w:eastAsia="Times New Roman" w:hAnsi="Times New Roman"/>
          <w:sz w:val="16"/>
          <w:szCs w:val="16"/>
          <w:b w:val="1"/>
          <w:bCs w:val="1"/>
          <w:i w:val="1"/>
          <w:iCs w:val="1"/>
          <w:color w:val="auto"/>
        </w:rPr>
        <w:t>Other Information</w:t>
      </w:r>
    </w:p>
    <w:p>
      <w:pPr>
        <w:spacing w:after="0" w:line="200" w:lineRule="exact"/>
        <w:rPr>
          <w:sz w:val="20"/>
          <w:szCs w:val="20"/>
          <w:color w:val="auto"/>
        </w:rPr>
      </w:pPr>
    </w:p>
    <w:p>
      <w:pPr>
        <w:ind w:right="300" w:firstLine="191"/>
        <w:spacing w:after="0" w:line="259" w:lineRule="auto"/>
        <w:rPr>
          <w:sz w:val="20"/>
          <w:szCs w:val="20"/>
          <w:color w:val="auto"/>
        </w:rPr>
      </w:pPr>
      <w:r>
        <w:rPr>
          <w:rFonts w:ascii="Times New Roman" w:cs="Times New Roman" w:eastAsia="Times New Roman" w:hAnsi="Times New Roman"/>
          <w:sz w:val="16"/>
          <w:szCs w:val="16"/>
          <w:color w:val="auto"/>
        </w:rPr>
        <w:t>None of our directors or executive officers adopted or terminated a Rule 10b5-1 trading arrangement or a non-Rule 10b5-1 trading arrangement (as defined in Item 408(c) of Regulation S-K) during the period covered by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4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color w:val="auto"/>
        </w:rPr>
        <w:t xml:space="preserve">Item 6. </w:t>
      </w:r>
      <w:r>
        <w:rPr>
          <w:rFonts w:ascii="Times New Roman" w:cs="Times New Roman" w:eastAsia="Times New Roman" w:hAnsi="Times New Roman"/>
          <w:sz w:val="16"/>
          <w:szCs w:val="16"/>
          <w:b w:val="1"/>
          <w:bCs w:val="1"/>
          <w:i w:val="1"/>
          <w:iCs w:val="1"/>
          <w:color w:val="auto"/>
        </w:rPr>
        <w:t>Exhibits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9820" w:type="dxa"/>
            <w:vAlign w:val="bottom"/>
            <w:gridSpan w:val="9"/>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360" w:type="dxa"/>
            <w:vAlign w:val="bottom"/>
          </w:tcPr>
          <w:p>
            <w:pPr>
              <w:spacing w:after="0"/>
              <w:rPr>
                <w:sz w:val="13"/>
                <w:szCs w:val="13"/>
                <w:color w:val="auto"/>
              </w:rPr>
            </w:pPr>
          </w:p>
        </w:tc>
        <w:tc>
          <w:tcPr>
            <w:tcW w:w="9820" w:type="dxa"/>
            <w:vAlign w:val="bottom"/>
            <w:gridSpan w:val="9"/>
          </w:tcPr>
          <w:p>
            <w:pPr>
              <w:spacing w:after="0"/>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Fourth Amended and Restated Bylaws of Centrus Energy Corp. (incorporated by reference to Exhibit 3.1 of the Company’s Current Report on Form 8-K, filed with the SEC</w:t>
              </w:r>
            </w:hyperlink>
          </w:p>
        </w:tc>
        <w:tc>
          <w:tcPr>
            <w:tcW w:w="0" w:type="dxa"/>
            <w:vAlign w:val="bottom"/>
          </w:tcPr>
          <w:p>
            <w:pPr>
              <w:spacing w:after="0"/>
              <w:rPr>
                <w:sz w:val="1"/>
                <w:szCs w:val="1"/>
                <w:color w:val="auto"/>
              </w:rPr>
            </w:pPr>
          </w:p>
        </w:tc>
      </w:tr>
      <w:tr>
        <w:trPr>
          <w:trHeight w:val="139"/>
        </w:trPr>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20" w:type="dxa"/>
            <w:vAlign w:val="bottom"/>
            <w:tcBorders>
              <w:top w:val="single" w:sz="8" w:color="0000FF"/>
            </w:tcBorders>
            <w:gridSpan w:val="6"/>
          </w:tcPr>
          <w:p>
            <w:pPr>
              <w:spacing w:after="0" w:line="139" w:lineRule="exact"/>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on March 16, 2026).</w:t>
              </w:r>
            </w:hyperlink>
          </w:p>
        </w:tc>
        <w:tc>
          <w:tcPr>
            <w:tcW w:w="15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36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820" w:type="dxa"/>
            <w:vAlign w:val="bottom"/>
            <w:gridSpan w:val="9"/>
          </w:tcPr>
          <w:p>
            <w:pPr>
              <w:spacing w:after="0"/>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Modification 26 to Agreement, dated January 12, 2026, by and between American Centrifuge Operating, LLC and the U.S. Department of Energy (incorporated by reference</w:t>
              </w:r>
            </w:hyperlink>
          </w:p>
        </w:tc>
        <w:tc>
          <w:tcPr>
            <w:tcW w:w="0" w:type="dxa"/>
            <w:vAlign w:val="bottom"/>
          </w:tcPr>
          <w:p>
            <w:pPr>
              <w:spacing w:after="0"/>
              <w:rPr>
                <w:sz w:val="1"/>
                <w:szCs w:val="1"/>
                <w:color w:val="auto"/>
              </w:rPr>
            </w:pPr>
          </w:p>
        </w:tc>
      </w:tr>
      <w:tr>
        <w:trPr>
          <w:trHeight w:val="150"/>
        </w:trPr>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0" w:type="dxa"/>
            <w:vAlign w:val="bottom"/>
            <w:tcBorders>
              <w:top w:val="single" w:sz="8" w:color="0000FF"/>
            </w:tcBorders>
            <w:gridSpan w:val="8"/>
          </w:tcPr>
          <w:p>
            <w:pPr>
              <w:spacing w:after="0" w:line="150" w:lineRule="exact"/>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to Exhibit 10.106 of the Company’s Annual Report on Form 10-K, filed with the SEC on February 11, 2026)</w:t>
              </w:r>
              <w:r>
                <w:rPr>
                  <w:rFonts w:ascii="Times New Roman" w:cs="Times New Roman" w:eastAsia="Times New Roman" w:hAnsi="Times New Roman"/>
                  <w:sz w:val="14"/>
                  <w:szCs w:val="14"/>
                  <w:u w:val="single" w:color="auto"/>
                  <w:color w:val="0000FF"/>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360" w:type="dxa"/>
            <w:vAlign w:val="bottom"/>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Agreement for Engineering, Procurement, and Construction Services between American Centrifuge Operating, LLC and Fluor Federal Services, Inc. (certain information has</w:t>
            </w:r>
          </w:p>
        </w:tc>
        <w:tc>
          <w:tcPr>
            <w:tcW w:w="0" w:type="dxa"/>
            <w:vAlign w:val="bottom"/>
          </w:tcPr>
          <w:p>
            <w:pPr>
              <w:spacing w:after="0"/>
              <w:rPr>
                <w:sz w:val="1"/>
                <w:szCs w:val="1"/>
                <w:color w:val="auto"/>
              </w:rPr>
            </w:pPr>
          </w:p>
        </w:tc>
      </w:tr>
      <w:tr>
        <w:trPr>
          <w:trHeight w:val="150"/>
        </w:trPr>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20" w:type="dxa"/>
            <w:vAlign w:val="bottom"/>
            <w:gridSpan w:val="9"/>
          </w:tcPr>
          <w:p>
            <w:pPr>
              <w:spacing w:after="0" w:line="150" w:lineRule="exact"/>
              <w:rPr>
                <w:sz w:val="20"/>
                <w:szCs w:val="20"/>
                <w:color w:val="auto"/>
              </w:rPr>
            </w:pPr>
            <w:r>
              <w:rPr>
                <w:rFonts w:ascii="Times New Roman" w:cs="Times New Roman" w:eastAsia="Times New Roman" w:hAnsi="Times New Roman"/>
                <w:sz w:val="14"/>
                <w:szCs w:val="14"/>
                <w:color w:val="0000FF"/>
              </w:rPr>
              <w:t>been omitted because the identified confidential portions (i) are not material and (ii) would be competitively harmful if publicly disclosed). (a)(c)</w:t>
            </w:r>
          </w:p>
        </w:tc>
        <w:tc>
          <w:tcPr>
            <w:tcW w:w="0" w:type="dxa"/>
            <w:vAlign w:val="bottom"/>
          </w:tcPr>
          <w:p>
            <w:pPr>
              <w:spacing w:after="0"/>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360" w:type="dxa"/>
            <w:vAlign w:val="bottom"/>
          </w:tcPr>
          <w:p>
            <w:pPr>
              <w:spacing w:after="0"/>
              <w:rPr>
                <w:sz w:val="23"/>
                <w:szCs w:val="23"/>
                <w:color w:val="auto"/>
              </w:rPr>
            </w:pPr>
          </w:p>
        </w:tc>
        <w:tc>
          <w:tcPr>
            <w:tcW w:w="48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pursuant to Rule 13a-14(a)/15d-14(a). (a)</w:t>
            </w:r>
          </w:p>
        </w:tc>
        <w:tc>
          <w:tcPr>
            <w:tcW w:w="3360" w:type="dxa"/>
            <w:vAlign w:val="bottom"/>
            <w:tcBorders>
              <w:top w:val="single" w:sz="8" w:color="0000FF"/>
            </w:tcBorders>
            <w:gridSpan w:val="2"/>
          </w:tcPr>
          <w:p>
            <w:pPr>
              <w:spacing w:after="0"/>
              <w:rPr>
                <w:sz w:val="23"/>
                <w:szCs w:val="23"/>
                <w:color w:val="auto"/>
              </w:rPr>
            </w:pPr>
          </w:p>
        </w:tc>
        <w:tc>
          <w:tcPr>
            <w:tcW w:w="16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360" w:type="dxa"/>
            <w:vAlign w:val="bottom"/>
          </w:tcPr>
          <w:p>
            <w:pPr>
              <w:spacing w:after="0"/>
              <w:rPr>
                <w:sz w:val="23"/>
                <w:szCs w:val="23"/>
                <w:color w:val="auto"/>
              </w:rPr>
            </w:pPr>
          </w:p>
        </w:tc>
        <w:tc>
          <w:tcPr>
            <w:tcW w:w="4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pursuant to Rule 13a-14(a)/15d-14(a). (a)</w:t>
            </w:r>
          </w:p>
        </w:tc>
        <w:tc>
          <w:tcPr>
            <w:tcW w:w="500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360" w:type="dxa"/>
            <w:vAlign w:val="bottom"/>
          </w:tcPr>
          <w:p>
            <w:pPr>
              <w:spacing w:after="0"/>
              <w:rPr>
                <w:sz w:val="23"/>
                <w:szCs w:val="23"/>
                <w:color w:val="auto"/>
              </w:rPr>
            </w:pPr>
          </w:p>
        </w:tc>
        <w:tc>
          <w:tcPr>
            <w:tcW w:w="98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and Chief Financial Officer pursuant to 18 U.S.C. Section 1350. (a)</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320" w:right="460" w:hanging="769"/>
        <w:spacing w:after="0" w:line="287" w:lineRule="auto"/>
        <w:tabs>
          <w:tab w:leader="none" w:pos="1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Unaudited Condensed Consolidated Financial Statements from the Quarterly Report on Form 10-Q for the quarter ended March 31, 2026, filed in interactive data file (formatted as Inline XBRL).</w:t>
      </w:r>
    </w:p>
    <w:p>
      <w:pPr>
        <w:spacing w:after="0" w:line="71" w:lineRule="exact"/>
        <w:rPr>
          <w:sz w:val="20"/>
          <w:szCs w:val="20"/>
          <w:color w:val="auto"/>
        </w:rPr>
      </w:pPr>
    </w:p>
    <w:p>
      <w:pPr>
        <w:ind w:left="1320" w:hanging="769"/>
        <w:spacing w:after="0"/>
        <w:tabs>
          <w:tab w:leader="none" w:pos="13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52"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7"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contracts and compensatory plans and arrangements required to be filed as exhibits pursuant to Item 15(b) of this report</w:t>
      </w:r>
      <w:r>
        <w:rPr>
          <w:rFonts w:ascii="Times New Roman" w:cs="Times New Roman" w:eastAsia="Times New Roman" w:hAnsi="Times New Roman"/>
          <w:sz w:val="15"/>
          <w:szCs w:val="15"/>
          <w:color w:val="auto"/>
        </w:rPr>
        <w:t>.</w:t>
      </w:r>
    </w:p>
    <w:p>
      <w:pPr>
        <w:spacing w:after="0" w:line="64"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have been omitted pursuant to Regulation S-K Item 601(b)(2). The Company agrees to furnish to the SEC a copy of any omitted schedule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031" w:right="459" w:bottom="1440" w:gutter="0" w:footer="0" w:header="0"/>
        </w:sectPr>
      </w:pPr>
    </w:p>
    <w:bookmarkStart w:id="58" w:name="page59"/>
    <w:bookmarkEnd w:id="58"/>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firstLine="191"/>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b w:val="1"/>
          <w:bCs w:val="1"/>
          <w:color w:val="auto"/>
        </w:rPr>
        <w:t>Centrus Energy Corp.</w:t>
      </w:r>
    </w:p>
    <w:p>
      <w:pPr>
        <w:spacing w:after="0" w:line="195" w:lineRule="exact"/>
        <w:rPr>
          <w:sz w:val="20"/>
          <w:szCs w:val="20"/>
          <w:color w:val="auto"/>
        </w:rPr>
      </w:pPr>
    </w:p>
    <w:p>
      <w:pPr>
        <w:ind w:left="220"/>
        <w:spacing w:after="0"/>
        <w:tabs>
          <w:tab w:leader="none" w:pos="5680" w:val="left"/>
        </w:tabs>
        <w:rPr>
          <w:sz w:val="20"/>
          <w:szCs w:val="20"/>
          <w:color w:val="auto"/>
        </w:rPr>
      </w:pPr>
      <w:r>
        <w:rPr>
          <w:rFonts w:ascii="Times New Roman" w:cs="Times New Roman" w:eastAsia="Times New Roman" w:hAnsi="Times New Roman"/>
          <w:sz w:val="16"/>
          <w:szCs w:val="16"/>
          <w:color w:val="auto"/>
        </w:rPr>
        <w:t>May 6, 2026</w:t>
      </w:r>
      <w:r>
        <w:rPr>
          <w:sz w:val="20"/>
          <w:szCs w:val="20"/>
          <w:color w:val="auto"/>
        </w:rPr>
        <w:tab/>
      </w:r>
      <w:r>
        <w:rPr>
          <w:rFonts w:ascii="Times New Roman" w:cs="Times New Roman" w:eastAsia="Times New Roman" w:hAnsi="Times New Roman"/>
          <w:sz w:val="14"/>
          <w:szCs w:val="14"/>
          <w:color w:val="auto"/>
        </w:rPr>
        <w:t>/s/ Todd M. Tinelli</w:t>
      </w:r>
    </w:p>
    <w:p>
      <w:pPr>
        <w:spacing w:after="0" w:line="22"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5"/>
          <w:szCs w:val="15"/>
          <w:b w:val="1"/>
          <w:bCs w:val="1"/>
          <w:color w:val="auto"/>
        </w:rPr>
        <w:t>Todd M. Tinelli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-106680</wp:posOffset>
            </wp:positionV>
            <wp:extent cx="40424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4"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5"/>
          <w:szCs w:val="15"/>
          <w:color w:val="auto"/>
        </w:rPr>
        <w:t>Senior Vice President, Chief Financial Officer, and Treasurer</w:t>
      </w:r>
    </w:p>
    <w:p>
      <w:pPr>
        <w:spacing w:after="0" w:line="18"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5"/>
          <w:szCs w:val="15"/>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480"/>
          </w:cols>
          <w:pgMar w:left="300" w:top="755" w:right="1119" w:bottom="1440"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Amir V. Vexler, certify that:</w:t>
      </w:r>
    </w:p>
    <w:p>
      <w:pPr>
        <w:spacing w:after="0" w:line="232" w:lineRule="exact"/>
        <w:rPr>
          <w:sz w:val="20"/>
          <w:szCs w:val="20"/>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Centrus Energy Corp.;</w:t>
      </w:r>
    </w:p>
    <w:p>
      <w:pPr>
        <w:spacing w:after="0" w:line="167"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4"/>
          <w:szCs w:val="14"/>
          <w:color w:val="auto"/>
        </w:rPr>
      </w:pPr>
    </w:p>
    <w:p>
      <w:pPr>
        <w:ind w:left="260" w:hanging="255"/>
        <w:spacing w:after="0" w:line="334" w:lineRule="auto"/>
        <w:tabs>
          <w:tab w:leader="none" w:pos="25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4380" w:val="left"/>
        </w:tabs>
        <w:rPr>
          <w:sz w:val="20"/>
          <w:szCs w:val="20"/>
          <w:color w:val="auto"/>
        </w:rPr>
      </w:pPr>
      <w:r>
        <w:rPr>
          <w:rFonts w:ascii="Times New Roman" w:cs="Times New Roman" w:eastAsia="Times New Roman" w:hAnsi="Times New Roman"/>
          <w:sz w:val="14"/>
          <w:szCs w:val="14"/>
          <w:color w:val="auto"/>
        </w:rPr>
        <w:t>May 6, 2026</w:t>
      </w:r>
      <w:r>
        <w:rPr>
          <w:sz w:val="20"/>
          <w:szCs w:val="20"/>
          <w:color w:val="auto"/>
        </w:rPr>
        <w:tab/>
      </w:r>
      <w:r>
        <w:rPr>
          <w:rFonts w:ascii="Times New Roman" w:cs="Times New Roman" w:eastAsia="Times New Roman" w:hAnsi="Times New Roman"/>
          <w:sz w:val="13"/>
          <w:szCs w:val="13"/>
          <w:color w:val="auto"/>
        </w:rPr>
        <w:t>/s/ Amir V. Vexler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14605</wp:posOffset>
            </wp:positionV>
            <wp:extent cx="321373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Amir V. Vexler</w:t>
      </w:r>
    </w:p>
    <w:p>
      <w:pPr>
        <w:spacing w:after="0" w:line="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38" w:right="3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Todd M. Tinelli, certify that:</w:t>
      </w:r>
    </w:p>
    <w:p>
      <w:pPr>
        <w:spacing w:after="0" w:line="232" w:lineRule="exact"/>
        <w:rPr>
          <w:sz w:val="20"/>
          <w:szCs w:val="20"/>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Centrus Energy Corp.;</w:t>
      </w:r>
    </w:p>
    <w:p>
      <w:pPr>
        <w:spacing w:after="0" w:line="167"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4"/>
          <w:szCs w:val="14"/>
          <w:color w:val="auto"/>
        </w:rPr>
      </w:pPr>
    </w:p>
    <w:p>
      <w:pPr>
        <w:ind w:left="260" w:hanging="255"/>
        <w:spacing w:after="0" w:line="334" w:lineRule="auto"/>
        <w:tabs>
          <w:tab w:leader="none" w:pos="25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4380" w:val="left"/>
        </w:tabs>
        <w:rPr>
          <w:sz w:val="20"/>
          <w:szCs w:val="20"/>
          <w:color w:val="auto"/>
        </w:rPr>
      </w:pPr>
      <w:r>
        <w:rPr>
          <w:rFonts w:ascii="Times New Roman" w:cs="Times New Roman" w:eastAsia="Times New Roman" w:hAnsi="Times New Roman"/>
          <w:sz w:val="14"/>
          <w:szCs w:val="14"/>
          <w:color w:val="auto"/>
        </w:rPr>
        <w:t>May 6, 2026</w:t>
      </w:r>
      <w:r>
        <w:rPr>
          <w:sz w:val="20"/>
          <w:szCs w:val="20"/>
          <w:color w:val="auto"/>
        </w:rPr>
        <w:tab/>
      </w:r>
      <w:r>
        <w:rPr>
          <w:rFonts w:ascii="Times New Roman" w:cs="Times New Roman" w:eastAsia="Times New Roman" w:hAnsi="Times New Roman"/>
          <w:sz w:val="13"/>
          <w:szCs w:val="13"/>
          <w:color w:val="auto"/>
        </w:rPr>
        <w:t>/s/ Todd M. Tinelli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14605</wp:posOffset>
            </wp:positionV>
            <wp:extent cx="386016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860165" cy="6985"/>
                    </a:xfrm>
                    <a:prstGeom prst="rect">
                      <a:avLst/>
                    </a:prstGeom>
                    <a:noFill/>
                  </pic:spPr>
                </pic:pic>
              </a:graphicData>
            </a:graphic>
          </wp:anchor>
        </w:drawing>
      </w:r>
    </w:p>
    <w:p>
      <w:pPr>
        <w:spacing w:after="0" w:line="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Todd M. Tinelli</w:t>
      </w:r>
    </w:p>
    <w:p>
      <w:pPr>
        <w:spacing w:after="0" w:line="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p>
      <w:pPr>
        <w:sectPr>
          <w:pgSz w:w="11900" w:h="16838" w:orient="portrait"/>
          <w:cols w:equalWidth="0" w:num="1">
            <w:col w:w="11280"/>
          </w:cols>
          <w:pgMar w:left="300" w:top="738" w:right="3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CERTIFICATION OF CEO AND CFO PURSUANT TO</w:t>
      </w:r>
    </w:p>
    <w:p>
      <w:pPr>
        <w:spacing w:after="0" w:line="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221" w:lineRule="exact"/>
        <w:rPr>
          <w:sz w:val="20"/>
          <w:szCs w:val="20"/>
          <w:color w:val="auto"/>
        </w:rPr>
      </w:pPr>
    </w:p>
    <w:p>
      <w:pPr>
        <w:ind w:right="240"/>
        <w:spacing w:after="0" w:line="309" w:lineRule="auto"/>
        <w:rPr>
          <w:sz w:val="20"/>
          <w:szCs w:val="20"/>
          <w:color w:val="auto"/>
        </w:rPr>
      </w:pPr>
      <w:r>
        <w:rPr>
          <w:rFonts w:ascii="Times New Roman" w:cs="Times New Roman" w:eastAsia="Times New Roman" w:hAnsi="Times New Roman"/>
          <w:sz w:val="14"/>
          <w:szCs w:val="14"/>
          <w:color w:val="auto"/>
        </w:rPr>
        <w:t>In connection with the quarterly report on Form 10-Q of Centrus Energy Corp. for the period ended March 31, 2026, as filed with the Securities and Exchange Commission on the date hereof (the “Report”), pursuant to 18 U.S.C. § 1350, Amir V. Vexler, President and Chief Executive Officer, and Todd M. Tinelli, Senior Vice President, Chief Financial Officer, and Treasurer, each hereby certifies, that, to his knowledge:</w:t>
      </w:r>
    </w:p>
    <w:p>
      <w:pPr>
        <w:spacing w:after="0" w:line="163" w:lineRule="exact"/>
        <w:rPr>
          <w:sz w:val="20"/>
          <w:szCs w:val="20"/>
          <w:color w:val="auto"/>
        </w:rPr>
      </w:pPr>
    </w:p>
    <w:p>
      <w:pPr>
        <w:ind w:left="800" w:hanging="413"/>
        <w:spacing w:after="0"/>
        <w:tabs>
          <w:tab w:leader="none" w:pos="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4"/>
          <w:szCs w:val="14"/>
          <w:color w:val="auto"/>
        </w:rPr>
      </w:pPr>
    </w:p>
    <w:p>
      <w:pPr>
        <w:ind w:left="800" w:hanging="413"/>
        <w:spacing w:after="0"/>
        <w:tabs>
          <w:tab w:leader="none" w:pos="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Centrus Energy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May 6, 2026</w:t>
            </w:r>
          </w:p>
        </w:tc>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Amir V. Vexler</w:t>
            </w:r>
          </w:p>
        </w:tc>
      </w:tr>
      <w:tr>
        <w:trPr>
          <w:trHeight w:val="167"/>
        </w:trPr>
        <w:tc>
          <w:tcPr>
            <w:tcW w:w="4240" w:type="dxa"/>
            <w:vAlign w:val="bottom"/>
          </w:tcPr>
          <w:p>
            <w:pPr>
              <w:spacing w:after="0"/>
              <w:rPr>
                <w:sz w:val="14"/>
                <w:szCs w:val="14"/>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Amir V. Vexler</w:t>
            </w:r>
          </w:p>
        </w:tc>
      </w:tr>
      <w:tr>
        <w:trPr>
          <w:trHeight w:val="184"/>
        </w:trPr>
        <w:tc>
          <w:tcPr>
            <w:tcW w:w="4240" w:type="dxa"/>
            <w:vAlign w:val="bottom"/>
          </w:tcPr>
          <w:p>
            <w:pPr>
              <w:spacing w:after="0"/>
              <w:rPr>
                <w:sz w:val="16"/>
                <w:szCs w:val="16"/>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72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May 6, 2026</w:t>
            </w:r>
          </w:p>
        </w:tc>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Todd M. Tinelli</w:t>
            </w:r>
          </w:p>
        </w:tc>
      </w:tr>
      <w:tr>
        <w:trPr>
          <w:trHeight w:val="167"/>
        </w:trPr>
        <w:tc>
          <w:tcPr>
            <w:tcW w:w="4240" w:type="dxa"/>
            <w:vAlign w:val="bottom"/>
          </w:tcPr>
          <w:p>
            <w:pPr>
              <w:spacing w:after="0"/>
              <w:rPr>
                <w:sz w:val="14"/>
                <w:szCs w:val="14"/>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Todd M. Tinelli</w:t>
            </w:r>
          </w:p>
        </w:tc>
      </w:tr>
      <w:tr>
        <w:trPr>
          <w:trHeight w:val="184"/>
        </w:trPr>
        <w:tc>
          <w:tcPr>
            <w:tcW w:w="4240" w:type="dxa"/>
            <w:vAlign w:val="bottom"/>
          </w:tcPr>
          <w:p>
            <w:pPr>
              <w:spacing w:after="0"/>
              <w:rPr>
                <w:sz w:val="16"/>
                <w:szCs w:val="16"/>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tc>
      </w:tr>
    </w:tbl>
    <w:p>
      <w:pPr>
        <w:spacing w:after="0" w:line="1" w:lineRule="exact"/>
        <w:rPr>
          <w:sz w:val="20"/>
          <w:szCs w:val="20"/>
          <w:color w:val="auto"/>
        </w:rPr>
      </w:pPr>
    </w:p>
    <w:sectPr>
      <w:pgSz w:w="11900" w:h="16838" w:orient="portrait"/>
      <w:cols w:equalWidth="0" w:num="1">
        <w:col w:w="11280"/>
      </w:cols>
      <w:pgMar w:left="300" w:top="73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01"/>
    </w:lvl>
  </w:abstractNum>
  <w:abstractNum w:abstractNumId="12">
    <w:nsid w:val="1BEFD79F"/>
    <w:multiLevelType w:val="hybridMultilevel"/>
    <w:lvl w:ilvl="0">
      <w:lvlJc w:val="left"/>
      <w:lvlText w:val="%1"/>
      <w:numFmt w:val="lowerLetter"/>
      <w:start w:val="1"/>
    </w:lvl>
    <w:lvl w:ilvl="1">
      <w:lvlJc w:val="left"/>
      <w:lvlText w:val="%2"/>
      <w:numFmt w:val="decimal"/>
      <w:start w:val="104"/>
    </w:lvl>
  </w:abstractNum>
  <w:abstractNum w:abstractNumId="13">
    <w:nsid w:val="41A7C4C9"/>
    <w:multiLevelType w:val="hybridMultilevel"/>
    <w:lvl w:ilvl="0">
      <w:lvlJc w:val="left"/>
      <w:lvlText w:val="(%1)"/>
      <w:numFmt w:val="lowerLetter"/>
      <w:start w:val="1"/>
    </w:lvl>
    <w:lvl w:ilvl="1">
      <w:lvlJc w:val="left"/>
      <w:lvlText w:val="%2"/>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73" Type="http://schemas.openxmlformats.org/officeDocument/2006/relationships/hyperlink" Target="https://www.sec.gov/Archives/edgar/data/1065059/000162828026017957/ex31_20260310xfourthamen.htm" TargetMode="External"/><Relationship Id="rId74" Type="http://schemas.openxmlformats.org/officeDocument/2006/relationships/hyperlink" Target="https://www.sec.gov/Archives/edgar/data/1065059/000162828026007117/exhibit_10106x20251231x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2026-05-06T06:07:47Z</dcterms:created>
  <dcterms:modified xsi:type="dcterms:W3CDTF">2026-05-06T06:07:47Z</dcterms:modified>
</cp:coreProperties>
</file>