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019d5_8k.htm"/>
      <w:bookmarkStart w:id="1" w:name="kstm2625019d5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6090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val="false"/>
          <w:i w:val="false"/>
          <w:caps w:val="false"/>
          <w:smallCaps w:val="false"/>
          <w:sz w:val="20"/>
        </w:rPr>
        <w:t>September 9, 2026</w:t>
      </w:r>
    </w:p>
    <w:p>
      <w:pPr>
        <w:pStyle w:val="TextBody"/>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Centrus Energy Corp.</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790" w:type="dxa"/>
        <w:jc w:val="left"/>
        <w:tblInd w:w="0" w:type="dxa"/>
        <w:tblLayout w:type="fixed"/>
        <w:tblCellMar>
          <w:top w:w="0" w:type="dxa"/>
          <w:left w:w="0" w:type="dxa"/>
          <w:bottom w:w="0" w:type="dxa"/>
          <w:right w:w="0" w:type="dxa"/>
        </w:tblCellMar>
      </w:tblPr>
      <w:tblGrid>
        <w:gridCol w:w="3695"/>
        <w:gridCol w:w="2195"/>
        <w:gridCol w:w="2900"/>
      </w:tblGrid>
      <w:tr>
        <w:trPr/>
        <w:tc>
          <w:tcPr>
            <w:tcW w:w="3695" w:type="dxa"/>
            <w:tcBorders/>
            <w:vAlign w:val="center"/>
          </w:tcPr>
          <w:p>
            <w:pPr>
              <w:pStyle w:val="TableContents"/>
              <w:bidi w:val="0"/>
              <w:spacing w:before="0" w:after="283"/>
              <w:jc w:val="center"/>
              <w:rPr>
                <w:b/>
                <w:sz w:val="20"/>
              </w:rPr>
            </w:pPr>
            <w:bookmarkStart w:id="5" w:name="xdx_907_edei--EntityIncorporationStateCo"/>
            <w:bookmarkEnd w:id="5"/>
            <w:r>
              <w:rPr>
                <w:b/>
                <w:sz w:val="20"/>
              </w:rPr>
              <w:t>Delaware</w:t>
            </w:r>
          </w:p>
        </w:tc>
        <w:tc>
          <w:tcPr>
            <w:tcW w:w="2195" w:type="dxa"/>
            <w:tcBorders/>
            <w:vAlign w:val="center"/>
          </w:tcPr>
          <w:p>
            <w:pPr>
              <w:pStyle w:val="TableContents"/>
              <w:bidi w:val="0"/>
              <w:spacing w:before="0" w:after="283"/>
              <w:jc w:val="center"/>
              <w:rPr>
                <w:b/>
                <w:sz w:val="20"/>
              </w:rPr>
            </w:pPr>
            <w:bookmarkStart w:id="6" w:name="xdx_905_edei--EntityFileNumber_c20260909"/>
            <w:bookmarkEnd w:id="6"/>
            <w:r>
              <w:rPr>
                <w:b/>
                <w:sz w:val="20"/>
              </w:rPr>
              <w:t>1-14287</w:t>
            </w:r>
          </w:p>
        </w:tc>
        <w:tc>
          <w:tcPr>
            <w:tcW w:w="2900" w:type="dxa"/>
            <w:tcBorders/>
            <w:vAlign w:val="center"/>
          </w:tcPr>
          <w:p>
            <w:pPr>
              <w:pStyle w:val="TableContents"/>
              <w:bidi w:val="0"/>
              <w:spacing w:before="0" w:after="283"/>
              <w:jc w:val="center"/>
              <w:rPr>
                <w:b/>
                <w:sz w:val="20"/>
              </w:rPr>
            </w:pPr>
            <w:bookmarkStart w:id="7" w:name="xdx_90E_edei--EntityTaxIdentificationNum"/>
            <w:bookmarkEnd w:id="7"/>
            <w:r>
              <w:rPr>
                <w:b/>
                <w:sz w:val="20"/>
              </w:rPr>
              <w:t>52-2107911</w:t>
            </w:r>
          </w:p>
        </w:tc>
      </w:tr>
      <w:tr>
        <w:trPr/>
        <w:tc>
          <w:tcPr>
            <w:tcW w:w="3695" w:type="dxa"/>
            <w:tcBorders/>
            <w:vAlign w:val="center"/>
          </w:tcPr>
          <w:p>
            <w:pPr>
              <w:pStyle w:val="TableContents"/>
              <w:bidi w:val="0"/>
              <w:spacing w:before="0" w:after="283"/>
              <w:jc w:val="center"/>
              <w:rPr>
                <w:i/>
                <w:sz w:val="20"/>
              </w:rPr>
            </w:pPr>
            <w:r>
              <w:rPr>
                <w:i/>
                <w:sz w:val="20"/>
              </w:rPr>
              <w:t>(State or other jurisdiction of incorporation)</w:t>
            </w:r>
          </w:p>
        </w:tc>
        <w:tc>
          <w:tcPr>
            <w:tcW w:w="2195" w:type="dxa"/>
            <w:tcBorders/>
            <w:vAlign w:val="center"/>
          </w:tcPr>
          <w:p>
            <w:pPr>
              <w:pStyle w:val="TableContents"/>
              <w:bidi w:val="0"/>
              <w:spacing w:before="0" w:after="283"/>
              <w:jc w:val="center"/>
              <w:rPr>
                <w:i/>
                <w:sz w:val="20"/>
              </w:rPr>
            </w:pPr>
            <w:r>
              <w:rPr>
                <w:i/>
                <w:sz w:val="20"/>
              </w:rPr>
              <w:t>(Commission File Number)</w:t>
            </w:r>
          </w:p>
        </w:tc>
        <w:tc>
          <w:tcPr>
            <w:tcW w:w="2900" w:type="dxa"/>
            <w:tcBorders/>
            <w:vAlign w:val="center"/>
          </w:tcPr>
          <w:p>
            <w:pPr>
              <w:pStyle w:val="TableContents"/>
              <w:bidi w:val="0"/>
              <w:spacing w:before="0" w:after="283"/>
              <w:jc w:val="center"/>
              <w:rPr>
                <w:i/>
                <w:sz w:val="20"/>
              </w:rPr>
            </w:pPr>
            <w:r>
              <w:rPr>
                <w:i/>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 xml:space="preserve">6901 Rockledge Drive, </w:t>
      </w:r>
      <w:bookmarkStart w:id="9" w:name="xdx_90D_edei--EntityAddressAddressLine2_"/>
      <w:bookmarkEnd w:id="9"/>
      <w:r>
        <w:rPr>
          <w:rFonts w:ascii="Times New Roman;Times;Serif" w:hAnsi="Times New Roman;Times;Serif"/>
          <w:b/>
          <w:i w:val="false"/>
          <w:caps w:val="false"/>
          <w:smallCaps w:val="false"/>
          <w:sz w:val="20"/>
        </w:rPr>
        <w:t>Suite 800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Bethesda, </w:t>
      </w:r>
      <w:bookmarkStart w:id="11" w:name="xdx_90E_edei--EntityAddressStateOrProvin"/>
      <w:bookmarkEnd w:id="11"/>
      <w:r>
        <w:rPr>
          <w:rFonts w:ascii="Times New Roman;Times;Serif" w:hAnsi="Times New Roman;Times;Serif"/>
          <w:b/>
          <w:i w:val="false"/>
          <w:caps w:val="false"/>
          <w:smallCaps w:val="false"/>
          <w:sz w:val="20"/>
        </w:rPr>
        <w:t xml:space="preserve">MD </w:t>
      </w:r>
      <w:bookmarkStart w:id="12" w:name="xdx_900_edei--EntityAddressPostalZipCode"/>
      <w:bookmarkEnd w:id="12"/>
      <w:r>
        <w:rPr>
          <w:rFonts w:ascii="Times New Roman;Times;Serif" w:hAnsi="Times New Roman;Times;Serif"/>
          <w:b/>
          <w:i w:val="false"/>
          <w:caps w:val="false"/>
          <w:smallCaps w:val="false"/>
          <w:sz w:val="20"/>
        </w:rPr>
        <w:t>20817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3_edei--CityAreaCode_c20260909__20"/>
      <w:bookmarkEnd w:id="13"/>
      <w:r>
        <w:rPr>
          <w:rFonts w:ascii="Times New Roman;Times;Serif" w:hAnsi="Times New Roman;Times;Serif"/>
          <w:b/>
          <w:i w:val="false"/>
          <w:caps w:val="false"/>
          <w:smallCaps w:val="false"/>
          <w:sz w:val="20"/>
        </w:rPr>
        <w:t xml:space="preserve">301) </w:t>
      </w:r>
      <w:bookmarkStart w:id="14" w:name="xdx_909_edei--LocalPhoneNumber_c20260909"/>
      <w:bookmarkEnd w:id="14"/>
      <w:r>
        <w:rPr>
          <w:rFonts w:ascii="Times New Roman;Times;Serif" w:hAnsi="Times New Roman;Times;Serif"/>
          <w:b/>
          <w:i w:val="false"/>
          <w:caps w:val="false"/>
          <w:smallCaps w:val="false"/>
          <w:sz w:val="20"/>
        </w:rPr>
        <w:t>564-3200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305"/>
        <w:gridCol w:w="9065"/>
      </w:tblGrid>
      <w:tr>
        <w:trPr/>
        <w:tc>
          <w:tcPr>
            <w:tcW w:w="305" w:type="dxa"/>
            <w:tcBorders/>
            <w:vAlign w:val="center"/>
          </w:tcPr>
          <w:p>
            <w:pPr>
              <w:pStyle w:val="TableContents"/>
              <w:bidi w:val="0"/>
              <w:spacing w:before="0" w:after="283"/>
              <w:jc w:val="center"/>
              <w:rPr/>
            </w:pPr>
            <w:bookmarkStart w:id="15" w:name="xdx_902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30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center"/>
              <w:rPr/>
            </w:pPr>
            <w:bookmarkStart w:id="16" w:name="xdx_90F_edei--SolicitingMaterial_c202609"/>
            <w:bookmarkEnd w:id="16"/>
            <w:r>
              <w:rPr/>
              <w:t>☐ </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30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center"/>
              <w:rPr/>
            </w:pPr>
            <w:bookmarkStart w:id="17" w:name="xdx_903_edei--PreCommencementTenderOffer"/>
            <w:bookmarkEnd w:id="17"/>
            <w:r>
              <w:rPr/>
              <w:t>☐ </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30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center"/>
              <w:rPr/>
            </w:pPr>
            <w:bookmarkStart w:id="18" w:name="xdx_90E_edei--PreCommencementIssuerTende"/>
            <w:bookmarkEnd w:id="18"/>
            <w:r>
              <w:rPr/>
              <w:t>☐ </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180" w:type="dxa"/>
        <w:jc w:val="left"/>
        <w:tblInd w:w="0" w:type="dxa"/>
        <w:tblLayout w:type="fixed"/>
        <w:tblCellMar>
          <w:top w:w="0" w:type="dxa"/>
          <w:left w:w="0" w:type="dxa"/>
          <w:bottom w:w="0" w:type="dxa"/>
          <w:right w:w="0" w:type="dxa"/>
        </w:tblCellMar>
      </w:tblPr>
      <w:tblGrid>
        <w:gridCol w:w="4070"/>
        <w:gridCol w:w="1340"/>
        <w:gridCol w:w="3770"/>
      </w:tblGrid>
      <w:tr>
        <w:trPr/>
        <w:tc>
          <w:tcPr>
            <w:tcW w:w="4070" w:type="dxa"/>
            <w:tcBorders/>
            <w:vAlign w:val="center"/>
          </w:tcPr>
          <w:p>
            <w:pPr>
              <w:pStyle w:val="TableContents"/>
              <w:bidi w:val="0"/>
              <w:spacing w:before="0" w:after="283"/>
              <w:jc w:val="center"/>
              <w:rPr>
                <w:sz w:val="20"/>
                <w:u w:val="single"/>
              </w:rPr>
            </w:pPr>
            <w:r>
              <w:rPr>
                <w:sz w:val="20"/>
                <w:u w:val="single"/>
              </w:rPr>
              <w:t>Title of Each Class</w:t>
            </w:r>
          </w:p>
        </w:tc>
        <w:tc>
          <w:tcPr>
            <w:tcW w:w="1340" w:type="dxa"/>
            <w:tcBorders/>
            <w:vAlign w:val="center"/>
          </w:tcPr>
          <w:p>
            <w:pPr>
              <w:pStyle w:val="TableContents"/>
              <w:bidi w:val="0"/>
              <w:spacing w:before="0" w:after="283"/>
              <w:jc w:val="center"/>
              <w:rPr>
                <w:sz w:val="20"/>
                <w:u w:val="single"/>
              </w:rPr>
            </w:pPr>
            <w:r>
              <w:rPr>
                <w:sz w:val="20"/>
                <w:u w:val="single"/>
              </w:rPr>
              <w:t>Trading Symbol</w:t>
            </w:r>
          </w:p>
        </w:tc>
        <w:tc>
          <w:tcPr>
            <w:tcW w:w="3770" w:type="dxa"/>
            <w:tcBorders/>
            <w:vAlign w:val="center"/>
          </w:tcPr>
          <w:p>
            <w:pPr>
              <w:pStyle w:val="TableContents"/>
              <w:bidi w:val="0"/>
              <w:spacing w:before="0" w:after="283"/>
              <w:jc w:val="center"/>
              <w:rPr>
                <w:sz w:val="20"/>
                <w:u w:val="single"/>
              </w:rPr>
            </w:pPr>
            <w:r>
              <w:rPr>
                <w:sz w:val="20"/>
                <w:u w:val="single"/>
              </w:rPr>
              <w:t>Name of Each Exchange on Which Registered</w:t>
            </w:r>
          </w:p>
        </w:tc>
      </w:tr>
      <w:tr>
        <w:trPr/>
        <w:tc>
          <w:tcPr>
            <w:tcW w:w="4070" w:type="dxa"/>
            <w:tcBorders/>
            <w:vAlign w:val="center"/>
          </w:tcPr>
          <w:p>
            <w:pPr>
              <w:pStyle w:val="TableContents"/>
              <w:bidi w:val="0"/>
              <w:spacing w:before="0" w:after="283"/>
              <w:jc w:val="center"/>
              <w:rPr>
                <w:sz w:val="20"/>
              </w:rPr>
            </w:pPr>
            <w:bookmarkStart w:id="19" w:name="xdx_904_edei--Security12bTitle_c20260909"/>
            <w:bookmarkEnd w:id="19"/>
            <w:r>
              <w:rPr>
                <w:sz w:val="20"/>
              </w:rPr>
              <w:t>Class A Common Stock, par value $0.10 per share</w:t>
            </w:r>
          </w:p>
        </w:tc>
        <w:tc>
          <w:tcPr>
            <w:tcW w:w="1340" w:type="dxa"/>
            <w:tcBorders/>
            <w:vAlign w:val="center"/>
          </w:tcPr>
          <w:p>
            <w:pPr>
              <w:pStyle w:val="TableContents"/>
              <w:bidi w:val="0"/>
              <w:spacing w:before="0" w:after="283"/>
              <w:jc w:val="center"/>
              <w:rPr>
                <w:sz w:val="20"/>
              </w:rPr>
            </w:pPr>
            <w:bookmarkStart w:id="20" w:name="xdx_903_edei--TradingSymbol_c20260909__2"/>
            <w:bookmarkEnd w:id="20"/>
            <w:r>
              <w:rPr>
                <w:sz w:val="20"/>
              </w:rPr>
              <w:t>LEU</w:t>
            </w:r>
          </w:p>
        </w:tc>
        <w:tc>
          <w:tcPr>
            <w:tcW w:w="3770" w:type="dxa"/>
            <w:tcBorders/>
            <w:vAlign w:val="center"/>
          </w:tcPr>
          <w:p>
            <w:pPr>
              <w:pStyle w:val="TableContents"/>
              <w:bidi w:val="0"/>
              <w:spacing w:before="0" w:after="283"/>
              <w:jc w:val="center"/>
              <w:rPr>
                <w:sz w:val="20"/>
              </w:rPr>
            </w:pPr>
            <w:bookmarkStart w:id="21" w:name="xdx_908_edei--SecurityExchangeName_c2026"/>
            <w:bookmarkEnd w:id="21"/>
            <w:r>
              <w:rPr>
                <w:sz w:val="20"/>
              </w:rPr>
              <w:t>NYSE</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6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96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385" w:right="385"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Centrus Energy Corp. (the “Company”) entered into an underwriting agreement (the “Underwriting Agreement”) by and between the Company and Guggenheim Securities, LLC, as representative (the “Representative”) of the underwriters listed in Schedule I thereto (the “Underwriters”), providing for the offer and sale of (i) 500,000 shares (the “Shares”) of the Company’s Class A common stock, par value $0.10 per share (the “Common Stock”), (ii) pre-funded warrants to provide for the purchase, upon exercise, of up to 2,005,513 shares of Common Stock (the “Pre-Funded Warrants”) and (iii) common warrants to provide for the purchase, upon exercise, of up to 6,992,382 shares of Common Stock (the “Common Warrants” and, together with the Pre-Funded Warrants, the “Warrants”). The shares of Common Stock, the Common Warrants and the Pre-Funded Warrants are issued separately and not as a unit.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are exercisable immediately upon issuance and from time to time thereafter through and including the twenty five-year anniversary of the initial issuance date. Each Pre-Funded Warrant is exercisable at an exercise price of $0.10 per share (the “Pre-Funded Warrant Exercise Price”). The Common Warrants are exercisable immediately upon issuance and from time to time thereafter until the expiration date of the applicable tranche. The exercise prices for the four series of Common Warrants equal $226.8625 per share, $272.2350 per share, $317.6075 per share and $362.9800 per share, respectively (each, a “Common Warrant Exercise Price”).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 Exercise Price and the number of shares of Common Stock issuable upon exercise of the Common Warrants are subject to appropriate adjustment in the event of certain stock dividends and distributions, stock splits, stock combinations, reclassifications or similar events affecting the shares of Common Stock, as well as upon any distribution of assets, including cash, stock or other property, or upon the grant of purchase rights, to holders of the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 Exercise Price and the number of shares of Common Stock issuable upon exercise of the Pre-Funded Warrants are subject to appropriate adjustment in the event of certain stock dividends and distributions, stock splits, stock combinations, reclassifications or similar events affecting the shares of Common Stock. The holders of Pre-Funded Warrants have the right to participate on a fully as-exercised basis, without regard to any limitations on exercise, in certain distributions to the holders of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will not have the right to exercise any portion of the Warrants if the holder (together with its Attribution Parties (as defined therein)) would beneficially own in excess of 4.99% (which amount may be increased (not in excess of 9.99%), upon at least 61 days’ prior notice to the Company, or decreased by the holder from time to time pursuant to and in accordance with the Warrants) of the total number of issued and outstanding shares of Common Stock immediately after giving effect to such exercise.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Common Warrants, the Company may elect to require cashless exercise on each six-month anniversary of the Issuance Date (as defined in the Common Warrants), such election being irrevocable by the Company for the corresponding Election Period (as defined in the Common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Common Warrants, upon consummation of each Assumption Transaction (as defined in the Common Warrants), the holder would be entitled to receive shares of common stock (or its equivalent) of the Successor Entity (as defined in the Common Warrants) or such other securities, cash, assets or other property, as applicable, which the holder would have been entitled to receive upon the happening of such Assumption Transaction had a Common Warrant been exercised immediately prior to such Assumption Transaction (without regard to any limitations on the exercise of a Common Warrant), as adjusted in accordance with the provisions of the Common Warrants. The successor entity in any Assumption Transaction must assume the Common Warrant obligation pursuant to written agreements satisfactory to qualifying Initial Holders (as defined in the Common Warrants). Notwithstanding the foregoing, at the request of a holder delivered at any time commencing on the earliest to occur of the public disclosure of a Change of Control (as defined in the Common Warrants), the consummation of a Change of Control and the holder first becoming aware of a Change of Control through the date that is 60 days after the public disclosure of the consummation of such Change of Control by the Company pursuant to a Current Report on Form 8-K filed with the SEC, the Common Warrants provide that the Company or the Successor Entity (as the case may be) shall purchase the Common Warrants from the holder on the date of such request by paying to the holder cash in an amount equal to the Black Scholes Value (as defined in the Common Warrants); provided, however, that if the Change of Control is not within the Company's control, including not approved by the Company's Board of Directors, the holder shall only be entitled to receive from the Company or any Subject Entity (as defined in the Common Warrants) the same type or form of consideration (and in the same proportion), at the Black Scholes Value of the unexercised portion of the Common Warrant, that is being offered and paid to the holders of Common Stock of the Company in connection with the Change of Control, whether that consideration be in the form of cash, stock or any combination thereof, or whether the holders of Common Stock are given the choice to receive from among alternative forms of consideration in connection with the Change of Control; provided, further, that if holders of Common Stock of the Company are not offered or paid any consideration in such Change of Control, such holders of Common Stock will be deemed to have received common stock of the Subject Entity in such Change of Control. Payment of such cash or delivery of such other consideration, as applicable, shall be made by the Company (or at the Company's direction) to the holder on or prior to the later of (x) the second Trading Day after the date of such request and (y) the date of consummation of such Change of Control.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Pre-Funded Warrants, upon consummation of each Assumption Transaction (as defined in the Pre-Funded Warrants), the holder would be entitled to receive shares of common stock (or its equivalent) of the Successor Entity (as defined in the Pre-Funded Warrants) or such other securities, cash, assets or other property, as applicable, which the holder would have been entitled to receive upon the happening of such Assumption Transaction had a Pre-Funded Warrant been exercised immediately prior to such Assumption Transaction (without regard to any limitations on the exercise of a Pre-Funded Warrant), as adjusted in accordance with the provisions of the Pre-Funded Warrants. The successor entity in any Assumption Transaction must assume the Pre-Funded Warrant obligation pursuant to written agreements satisfactory to qualifying Initial Holders (as defined in the Pre-Funded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may otherwise be provided in a Warrant, the holder of a Warrant, solely in its capacity as holder of a Warrant, does not have the rights of a holder of shares of Common Stock, including any voting rights, prior to the issuance to the holder of the warrant shares which it is then entitled to receive upon the due exercise of a Warrant.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2026, the Company entered into a warrant agent agreement with U.S. Bank Trust Company, National Association, which will act as warrant agent for the Company in connection with the Pre-Funded Warrants and the Common Warrants issued and sold in the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Underwriting Agreement and the Warrants are not complete and are qualified in their entirety by reference to the full text of the Underwriting Agreement, the Form of Common Warrant and the Form of Pre-Funded Warrant, copies of which are filed as Exhibits 1.1, 4.1 and 4.2, respectively, to this Current Report on Form 8-K and are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opinion of O’Melveny &amp; Myers LLP relating to the validity of the securities issued in the offering is filed herewith as Exhibit 5.1.</w:t>
      </w:r>
    </w:p>
    <w:p>
      <w:pPr>
        <w:pStyle w:val="TextBody"/>
        <w:bidi w:val="0"/>
        <w:spacing w:before="0" w:after="0"/>
        <w:ind w:left="0" w:right="0" w:firstLine="720"/>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96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the Company issued a press release announcing the commencement of the underwritten offering and sale of Common Stock, Pre-Funded Warrants, and Common Warrants. A copy of the press release is attached as Exhibit 99.1 to this Current Report on Form 8-K and is hereby incorporated by reference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the Company issued a press release announcing the pricing of the underwritten offering and sale of Common Stock, Pre-Funded Warrants, and Common Warrants. A copy of the press release is attached as Exhibit 99.2 to this Current Report on Form 8-K and is hereby incorporated by reference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this Item 7.01, including Exhibits 99.1 and 99.2,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 except as shall be expressly set forth by specific reference in such filing.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96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385" w:right="385"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regularly evaluates potential strategic transactions that could enhance the Company’s supply chain capabilities and increase vertical integration. As part of these efforts, the Company is currently engaged in advanced discussions regarding the potential acquisition of an existing domestic manufacturing supplier. The anticipated purchase price is in the range of approximately $115 million to $125 million, and the target company generated approximately $160 million of revenue for the year ended December 31,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entered into a definitive agreement with respect to this potential transaction. Any such acquisition remains subject to, among other things, the negotiation and execution of definitive documentation, completion of satisfactory due diligence, receipt of any required approvals, satisfaction of closing conditions, and approval by the Company’s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 definitive agreement will be executed or that any transaction will be consummated on the terms currently contemplated, or at all.</w:t>
      </w:r>
    </w:p>
    <w:p>
      <w:pPr>
        <w:pStyle w:val="TextBody"/>
        <w:bidi w:val="0"/>
        <w:spacing w:before="0" w:after="0"/>
        <w:ind w:left="385" w:right="385"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62"/>
        <w:gridCol w:w="60"/>
        <w:gridCol w:w="9283"/>
      </w:tblGrid>
      <w:tr>
        <w:trPr/>
        <w:tc>
          <w:tcPr>
            <w:tcW w:w="862"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83"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rPr/>
        <w:tc>
          <w:tcPr>
            <w:tcW w:w="862" w:type="dxa"/>
            <w:tcBorders/>
            <w:tcMar>
              <w:bottom w:w="0" w:type="dxa"/>
            </w:tcMar>
            <w:vAlign w:val="center"/>
          </w:tcPr>
          <w:p>
            <w:pPr>
              <w:pStyle w:val="TableContents"/>
              <w:bidi w:val="0"/>
              <w:spacing w:before="0" w:after="283"/>
              <w:jc w:val="left"/>
              <w:rPr/>
            </w:pPr>
            <w:hyperlink w:anchor="tm2625019d5_ex1-1.htm">
              <w:r>
                <w:rPr>
                  <w:rStyle w:val="InternetLink"/>
                  <w:sz w:val="20"/>
                </w:rPr>
                <w:t>1.1</w:t>
              </w:r>
            </w:hyperlink>
          </w:p>
        </w:tc>
        <w:tc>
          <w:tcPr>
            <w:tcW w:w="60" w:type="dxa"/>
            <w:tcBorders/>
            <w:tcMar>
              <w:bottom w:w="0" w:type="dxa"/>
            </w:tcMar>
            <w:vAlign w:val="center"/>
          </w:tcPr>
          <w:p>
            <w:pPr>
              <w:pStyle w:val="TableContents"/>
              <w:bidi w:val="0"/>
              <w:spacing w:before="0" w:after="283"/>
              <w:jc w:val="left"/>
              <w:rPr/>
            </w:pPr>
            <w:r>
              <w:rPr/>
              <w:t> </w:t>
            </w:r>
          </w:p>
        </w:tc>
        <w:tc>
          <w:tcPr>
            <w:tcW w:w="9283" w:type="dxa"/>
            <w:tcBorders/>
            <w:tcMar>
              <w:bottom w:w="0" w:type="dxa"/>
            </w:tcMar>
            <w:vAlign w:val="center"/>
          </w:tcPr>
          <w:p>
            <w:pPr>
              <w:pStyle w:val="TableContents"/>
              <w:bidi w:val="0"/>
              <w:spacing w:before="0" w:after="283"/>
              <w:jc w:val="left"/>
              <w:rPr/>
            </w:pPr>
            <w:hyperlink w:anchor="tm2625019d5_ex1-1.htm">
              <w:r>
                <w:rPr>
                  <w:rStyle w:val="InternetLink"/>
                  <w:sz w:val="20"/>
                </w:rPr>
                <w:t>Underwriting Agreement, dated September 9, 2026, by and between the Company and Guggenheim Securities, LLC, as representative of the Underwriters listed in Schedule I thereto.</w:t>
              </w:r>
            </w:hyperlink>
          </w:p>
        </w:tc>
      </w:tr>
      <w:tr>
        <w:trPr/>
        <w:tc>
          <w:tcPr>
            <w:tcW w:w="862" w:type="dxa"/>
            <w:tcBorders/>
            <w:tcMar>
              <w:bottom w:w="0" w:type="dxa"/>
            </w:tcMar>
            <w:vAlign w:val="center"/>
          </w:tcPr>
          <w:p>
            <w:pPr>
              <w:pStyle w:val="TableContents"/>
              <w:bidi w:val="0"/>
              <w:spacing w:before="0" w:after="283"/>
              <w:jc w:val="left"/>
              <w:rPr/>
            </w:pPr>
            <w:hyperlink w:anchor="tm2625019d5_ex4-1.htm">
              <w:r>
                <w:rPr>
                  <w:rStyle w:val="InternetLink"/>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283" w:type="dxa"/>
            <w:tcBorders/>
            <w:tcMar>
              <w:bottom w:w="0" w:type="dxa"/>
            </w:tcMar>
            <w:vAlign w:val="center"/>
          </w:tcPr>
          <w:p>
            <w:pPr>
              <w:pStyle w:val="TableContents"/>
              <w:bidi w:val="0"/>
              <w:spacing w:before="0" w:after="283"/>
              <w:jc w:val="left"/>
              <w:rPr/>
            </w:pPr>
            <w:hyperlink w:anchor="tm2625019d5_ex4-1.htm">
              <w:r>
                <w:rPr>
                  <w:rStyle w:val="InternetLink"/>
                  <w:sz w:val="20"/>
                </w:rPr>
                <w:t>Form of Common Warrant, issued September 11, 2026.</w:t>
              </w:r>
            </w:hyperlink>
          </w:p>
        </w:tc>
      </w:tr>
      <w:tr>
        <w:trPr/>
        <w:tc>
          <w:tcPr>
            <w:tcW w:w="862" w:type="dxa"/>
            <w:tcBorders/>
            <w:tcMar>
              <w:bottom w:w="0" w:type="dxa"/>
            </w:tcMar>
            <w:vAlign w:val="center"/>
          </w:tcPr>
          <w:p>
            <w:pPr>
              <w:pStyle w:val="TableContents"/>
              <w:bidi w:val="0"/>
              <w:spacing w:before="0" w:after="283"/>
              <w:jc w:val="left"/>
              <w:rPr/>
            </w:pPr>
            <w:hyperlink w:anchor="tm2625019d5_ex4-2.htm">
              <w:r>
                <w:rPr>
                  <w:rStyle w:val="InternetLink"/>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9283" w:type="dxa"/>
            <w:tcBorders/>
            <w:tcMar>
              <w:bottom w:w="0" w:type="dxa"/>
            </w:tcMar>
            <w:vAlign w:val="center"/>
          </w:tcPr>
          <w:p>
            <w:pPr>
              <w:pStyle w:val="TableContents"/>
              <w:bidi w:val="0"/>
              <w:spacing w:before="0" w:after="283"/>
              <w:jc w:val="left"/>
              <w:rPr/>
            </w:pPr>
            <w:hyperlink w:anchor="tm2625019d5_ex4-2.htm">
              <w:r>
                <w:rPr>
                  <w:rStyle w:val="InternetLink"/>
                  <w:sz w:val="20"/>
                </w:rPr>
                <w:t>Form of Pre-Funded Warrant, issued September 11, 2026.</w:t>
              </w:r>
            </w:hyperlink>
          </w:p>
        </w:tc>
      </w:tr>
      <w:tr>
        <w:trPr/>
        <w:tc>
          <w:tcPr>
            <w:tcW w:w="862" w:type="dxa"/>
            <w:tcBorders/>
            <w:tcMar>
              <w:bottom w:w="0" w:type="dxa"/>
            </w:tcMar>
            <w:vAlign w:val="center"/>
          </w:tcPr>
          <w:p>
            <w:pPr>
              <w:pStyle w:val="TableContents"/>
              <w:bidi w:val="0"/>
              <w:spacing w:before="0" w:after="283"/>
              <w:jc w:val="left"/>
              <w:rPr/>
            </w:pPr>
            <w:hyperlink w:anchor="tm2625019d5_ex5-1.htm">
              <w:r>
                <w:rPr>
                  <w:rStyle w:val="InternetLink"/>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283" w:type="dxa"/>
            <w:tcBorders/>
            <w:tcMar>
              <w:bottom w:w="0" w:type="dxa"/>
            </w:tcMar>
            <w:vAlign w:val="center"/>
          </w:tcPr>
          <w:p>
            <w:pPr>
              <w:pStyle w:val="TableContents"/>
              <w:bidi w:val="0"/>
              <w:spacing w:before="0" w:after="283"/>
              <w:jc w:val="left"/>
              <w:rPr/>
            </w:pPr>
            <w:hyperlink w:anchor="tm2625019d5_ex5-1.htm">
              <w:r>
                <w:rPr>
                  <w:rStyle w:val="InternetLink"/>
                  <w:sz w:val="20"/>
                </w:rPr>
                <w:t>Opinion of O’Melveny &amp; Myers LLP</w:t>
              </w:r>
            </w:hyperlink>
          </w:p>
        </w:tc>
      </w:tr>
      <w:tr>
        <w:trPr/>
        <w:tc>
          <w:tcPr>
            <w:tcW w:w="862" w:type="dxa"/>
            <w:tcBorders/>
            <w:tcMar>
              <w:bottom w:w="0" w:type="dxa"/>
            </w:tcMar>
            <w:vAlign w:val="center"/>
          </w:tcPr>
          <w:p>
            <w:pPr>
              <w:pStyle w:val="TableContents"/>
              <w:bidi w:val="0"/>
              <w:spacing w:before="0" w:after="283"/>
              <w:jc w:val="left"/>
              <w:rPr/>
            </w:pPr>
            <w:hyperlink w:anchor="tm2625019d5_ex5-1.htm">
              <w:r>
                <w:rPr>
                  <w:rStyle w:val="InternetLink"/>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283" w:type="dxa"/>
            <w:tcBorders/>
            <w:tcMar>
              <w:bottom w:w="0" w:type="dxa"/>
            </w:tcMar>
            <w:vAlign w:val="center"/>
          </w:tcPr>
          <w:p>
            <w:pPr>
              <w:pStyle w:val="TableContents"/>
              <w:bidi w:val="0"/>
              <w:spacing w:before="0" w:after="283"/>
              <w:jc w:val="left"/>
              <w:rPr/>
            </w:pPr>
            <w:hyperlink w:anchor="tm2625019d5_ex5-1.htm">
              <w:r>
                <w:rPr>
                  <w:rStyle w:val="InternetLink"/>
                  <w:sz w:val="20"/>
                </w:rPr>
                <w:t>Consent of O’Melveny &amp; Myers LLP (contained in Exhibit 5.1)</w:t>
              </w:r>
            </w:hyperlink>
          </w:p>
        </w:tc>
      </w:tr>
      <w:tr>
        <w:trPr/>
        <w:tc>
          <w:tcPr>
            <w:tcW w:w="862" w:type="dxa"/>
            <w:tcBorders/>
            <w:tcMar>
              <w:bottom w:w="0" w:type="dxa"/>
            </w:tcMar>
            <w:vAlign w:val="center"/>
          </w:tcPr>
          <w:p>
            <w:pPr>
              <w:pStyle w:val="TableContents"/>
              <w:bidi w:val="0"/>
              <w:spacing w:before="0" w:after="283"/>
              <w:jc w:val="left"/>
              <w:rPr/>
            </w:pPr>
            <w:hyperlink w:anchor="tm2625019d5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283" w:type="dxa"/>
            <w:tcBorders/>
            <w:tcMar>
              <w:bottom w:w="0" w:type="dxa"/>
            </w:tcMar>
            <w:vAlign w:val="center"/>
          </w:tcPr>
          <w:p>
            <w:pPr>
              <w:pStyle w:val="TableContents"/>
              <w:bidi w:val="0"/>
              <w:spacing w:before="0" w:after="283"/>
              <w:jc w:val="left"/>
              <w:rPr/>
            </w:pPr>
            <w:hyperlink w:anchor="tm2625019d5_ex99-1.htm">
              <w:r>
                <w:rPr>
                  <w:rStyle w:val="InternetLink"/>
                  <w:sz w:val="20"/>
                </w:rPr>
                <w:t>Launch Press Release, dated September 9, 2026</w:t>
              </w:r>
            </w:hyperlink>
          </w:p>
        </w:tc>
      </w:tr>
      <w:tr>
        <w:trPr/>
        <w:tc>
          <w:tcPr>
            <w:tcW w:w="862" w:type="dxa"/>
            <w:tcBorders/>
            <w:tcMar>
              <w:bottom w:w="0" w:type="dxa"/>
            </w:tcMar>
            <w:vAlign w:val="center"/>
          </w:tcPr>
          <w:p>
            <w:pPr>
              <w:pStyle w:val="TableContents"/>
              <w:bidi w:val="0"/>
              <w:spacing w:before="0" w:after="283"/>
              <w:jc w:val="left"/>
              <w:rPr/>
            </w:pPr>
            <w:hyperlink w:anchor="tm2625019d5_ex99-2.htm">
              <w:r>
                <w:rPr>
                  <w:rStyle w:val="InternetLink"/>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9283" w:type="dxa"/>
            <w:tcBorders/>
            <w:tcMar>
              <w:bottom w:w="0" w:type="dxa"/>
            </w:tcMar>
            <w:vAlign w:val="center"/>
          </w:tcPr>
          <w:p>
            <w:pPr>
              <w:pStyle w:val="TableContents"/>
              <w:bidi w:val="0"/>
              <w:spacing w:before="0" w:after="283"/>
              <w:jc w:val="left"/>
              <w:rPr/>
            </w:pPr>
            <w:hyperlink w:anchor="tm2625019d5_ex99-2.htm">
              <w:r>
                <w:rPr>
                  <w:rStyle w:val="InternetLink"/>
                  <w:sz w:val="20"/>
                </w:rPr>
                <w:t>Pricing Press Release, dated September 9, 2026</w:t>
              </w:r>
            </w:hyperlink>
          </w:p>
        </w:tc>
      </w:tr>
      <w:tr>
        <w:trPr/>
        <w:tc>
          <w:tcPr>
            <w:tcW w:w="862"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283" w:type="dxa"/>
            <w:tcBorders/>
            <w:tcMar>
              <w:bottom w:w="0" w:type="dxa"/>
            </w:tcMar>
            <w:vAlign w:val="center"/>
          </w:tcPr>
          <w:p>
            <w:pPr>
              <w:pStyle w:val="TableContents"/>
              <w:bidi w:val="0"/>
              <w:spacing w:before="0" w:after="283"/>
              <w:jc w:val="left"/>
              <w:rPr>
                <w:sz w:val="20"/>
              </w:rPr>
            </w:pPr>
            <w:r>
              <w:rPr>
                <w:sz w:val="20"/>
              </w:rPr>
              <w:t>Cover Page Interactive Data File – the cover page XBRL tags are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7340" w:type="dxa"/>
        <w:jc w:val="left"/>
        <w:tblInd w:w="0" w:type="dxa"/>
        <w:tblLayout w:type="fixed"/>
        <w:tblCellMar>
          <w:top w:w="0" w:type="dxa"/>
          <w:left w:w="0" w:type="dxa"/>
          <w:bottom w:w="0" w:type="dxa"/>
          <w:right w:w="0" w:type="dxa"/>
        </w:tblCellMar>
      </w:tblPr>
      <w:tblGrid>
        <w:gridCol w:w="470"/>
        <w:gridCol w:w="1640"/>
        <w:gridCol w:w="320"/>
        <w:gridCol w:w="4910"/>
      </w:tblGrid>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Centrus Energy Corp.</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11,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9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Todd M. Tinelli</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Todd M. Tinelli</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Chief Financial Officer, and Treasurer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5019d5_ex1-1.htm"/>
      <w:bookmarkStart w:id="24" w:name="kstm2625019d5_ex11"/>
      <w:bookmarkEnd w:id="23"/>
      <w:bookmarkEnd w:id="24"/>
      <w:r>
        <w:rPr/>
        <w:t> </w:t>
      </w:r>
      <w:r>
        <w:br w:type="page"/>
      </w:r>
    </w:p>
    <w:p>
      <w:pPr>
        <w:pStyle w:val="TextBody"/>
        <w:bidi w:val="0"/>
        <w:jc w:val="right"/>
        <w:rPr>
          <w:b/>
        </w:rPr>
      </w:pPr>
      <w:r>
        <w:rPr>
          <w:b/>
        </w:rPr>
        <w:t>EXHIBIT 1.1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CENTRUS ENERGY CORP.</w:t>
        <w:br/>
        <w:t>UNDERWRITING AGREEMENT</w:t>
        <w:br/>
        <w:t>500,000 Shares of Class A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 to Purchase up to 2,005,513 Shares of Class A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Warrants to Purchase up to 6,992,382 Shares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 Madison Avenue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Representative of the</w:t>
        <w:br/>
        <w:t xml:space="preserve">Several Underwriters Named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Centrus Energy Corp.,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proposes, subject to the terms and conditions stated herein, to issue and sell to the underwriters named in </w:t>
      </w:r>
      <w:r>
        <w:rPr>
          <w:rFonts w:ascii="Times New Roman;Times;Serif" w:hAnsi="Times New Roman;Times;Serif"/>
          <w:b w:val="false"/>
          <w:i w:val="false"/>
          <w:caps w:val="false"/>
          <w:smallCaps w:val="false"/>
          <w:sz w:val="20"/>
          <w:u w:val="single"/>
        </w:rPr>
        <w:t xml:space="preserve">‎Schedule I </w:t>
      </w:r>
      <w:r>
        <w:rPr>
          <w:rFonts w:ascii="Times New Roman;Times;Serif" w:hAnsi="Times New Roman;Times;Serif"/>
          <w:b w:val="false"/>
          <w:i w:val="false"/>
          <w:caps w:val="false"/>
          <w:smallCaps w:val="false"/>
          <w:sz w:val="20"/>
        </w:rPr>
        <w:t>hereto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or each, an “</w:t>
      </w:r>
      <w:r>
        <w:rPr>
          <w:rFonts w:ascii="Times New Roman;Times;Serif" w:hAnsi="Times New Roman;Times;Serif"/>
          <w:b/>
          <w:i w:val="false"/>
          <w:caps w:val="false"/>
          <w:smallCaps w:val="false"/>
          <w:sz w:val="20"/>
        </w:rPr>
        <w:t>Underwriter</w:t>
      </w:r>
      <w:r>
        <w:rPr>
          <w:rFonts w:ascii="Times New Roman;Times;Serif" w:hAnsi="Times New Roman;Times;Serif"/>
          <w:b w:val="false"/>
          <w:i w:val="false"/>
          <w:caps w:val="false"/>
          <w:smallCaps w:val="false"/>
          <w:sz w:val="20"/>
        </w:rPr>
        <w:t>”), for whom Guggenheim Securities, LLC is acting as the representative (the “</w:t>
      </w:r>
      <w:r>
        <w:rPr>
          <w:rFonts w:ascii="Times New Roman;Times;Serif" w:hAnsi="Times New Roman;Times;Serif"/>
          <w:b/>
          <w:i w:val="false"/>
          <w:caps w:val="false"/>
          <w:smallCaps w:val="false"/>
          <w:sz w:val="20"/>
        </w:rPr>
        <w:t>Representative</w:t>
      </w:r>
      <w:r>
        <w:rPr>
          <w:rFonts w:ascii="Times New Roman;Times;Serif" w:hAnsi="Times New Roman;Times;Serif"/>
          <w:b w:val="false"/>
          <w:i w:val="false"/>
          <w:caps w:val="false"/>
          <w:smallCaps w:val="false"/>
          <w:sz w:val="20"/>
        </w:rPr>
        <w:t>”), an aggregate of (i) 500,000 authorized but unissued shares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of Class A common stock, par value $0.10 per share, of the Company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(ii) pre-funded warrants to purchase up to 2,005,513 shares of Common Stock (the “</w:t>
      </w:r>
      <w:r>
        <w:rPr>
          <w:rFonts w:ascii="Times New Roman;Times;Serif" w:hAnsi="Times New Roman;Times;Serif"/>
          <w:b/>
          <w:i w:val="false"/>
          <w:caps w:val="false"/>
          <w:smallCaps w:val="false"/>
          <w:sz w:val="20"/>
        </w:rPr>
        <w:t>Pre-Funded Warrants</w:t>
      </w:r>
      <w:r>
        <w:rPr>
          <w:rFonts w:ascii="Times New Roman;Times;Serif" w:hAnsi="Times New Roman;Times;Serif"/>
          <w:b w:val="false"/>
          <w:i w:val="false"/>
          <w:caps w:val="false"/>
          <w:smallCaps w:val="false"/>
          <w:sz w:val="20"/>
        </w:rPr>
        <w:t>”) and (iii) common warrants to purchase up to 6,992,382 shares of Common Stock (the “</w:t>
      </w:r>
      <w:r>
        <w:rPr>
          <w:rFonts w:ascii="Times New Roman;Times;Serif" w:hAnsi="Times New Roman;Times;Serif"/>
          <w:b/>
          <w:i w:val="false"/>
          <w:caps w:val="false"/>
          <w:smallCaps w:val="false"/>
          <w:sz w:val="20"/>
        </w:rPr>
        <w:t>Common Warrants</w:t>
      </w:r>
      <w:r>
        <w:rPr>
          <w:rFonts w:ascii="Times New Roman;Times;Serif" w:hAnsi="Times New Roman;Times;Serif"/>
          <w:b w:val="false"/>
          <w:i w:val="false"/>
          <w:caps w:val="false"/>
          <w:smallCaps w:val="false"/>
          <w:sz w:val="20"/>
        </w:rPr>
        <w:t>” and together with the Pre-Funded Warrants,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xml:space="preserve">”). The respective amounts of the Securities (as defined below) to be purchased by each of the several Underwriters are set forth opposite their names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The aggregate number of shares of Common Stock issuable upon exercise of the Pre-Funded Warrants is hereinafter referred to as the “</w:t>
      </w:r>
      <w:r>
        <w:rPr>
          <w:rFonts w:ascii="Times New Roman;Times;Serif" w:hAnsi="Times New Roman;Times;Serif"/>
          <w:b/>
          <w:i w:val="false"/>
          <w:caps w:val="false"/>
          <w:smallCaps w:val="false"/>
          <w:sz w:val="20"/>
        </w:rPr>
        <w:t>Pre-Funded Warrant Shares</w:t>
      </w:r>
      <w:r>
        <w:rPr>
          <w:rFonts w:ascii="Times New Roman;Times;Serif" w:hAnsi="Times New Roman;Times;Serif"/>
          <w:b w:val="false"/>
          <w:i w:val="false"/>
          <w:caps w:val="false"/>
          <w:smallCaps w:val="false"/>
          <w:sz w:val="20"/>
        </w:rPr>
        <w:t>,” and the aggregate number of shares of Common Stock issuable upon exercise of the Common Warrants is hereinafter referred to as the “</w:t>
      </w:r>
      <w:r>
        <w:rPr>
          <w:rFonts w:ascii="Times New Roman;Times;Serif" w:hAnsi="Times New Roman;Times;Serif"/>
          <w:b/>
          <w:i w:val="false"/>
          <w:caps w:val="false"/>
          <w:smallCaps w:val="false"/>
          <w:sz w:val="20"/>
        </w:rPr>
        <w:t>Common Warrant Shares</w:t>
      </w:r>
      <w:r>
        <w:rPr>
          <w:rFonts w:ascii="Times New Roman;Times;Serif" w:hAnsi="Times New Roman;Times;Serif"/>
          <w:b w:val="false"/>
          <w:i w:val="false"/>
          <w:caps w:val="false"/>
          <w:smallCaps w:val="false"/>
          <w:sz w:val="20"/>
        </w:rPr>
        <w:t>.” The Pre-Funded Warrant Shares and the Common Warrant Shares are collectively hereinafter referred to as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The Shares, the Warrants and the Warrant Shares are collectively called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Pre-Funded Warrants and the Common Warrants are set forth in the Prospectus (as defined below). U.S. Bank Trust Company, National Association has been appointed to serve as warrant agent (the “</w:t>
      </w:r>
      <w:r>
        <w:rPr>
          <w:rFonts w:ascii="Times New Roman;Times;Serif" w:hAnsi="Times New Roman;Times;Serif"/>
          <w:b/>
          <w:i w:val="false"/>
          <w:caps w:val="false"/>
          <w:smallCaps w:val="false"/>
          <w:sz w:val="20"/>
        </w:rPr>
        <w:t>Warrant Agent</w:t>
      </w:r>
      <w:r>
        <w:rPr>
          <w:rFonts w:ascii="Times New Roman;Times;Serif" w:hAnsi="Times New Roman;Times;Serif"/>
          <w:b w:val="false"/>
          <w:i w:val="false"/>
          <w:caps w:val="false"/>
          <w:smallCaps w:val="false"/>
          <w:sz w:val="20"/>
        </w:rPr>
        <w:t>”) under the Pre-Funded Warrants and the Common Warrants pursuant to a warrant agent agreement between the Company and the Warrant Agent, to be dated the Closing Date (as defined below) (the “</w:t>
      </w:r>
      <w:r>
        <w:rPr>
          <w:rFonts w:ascii="Times New Roman;Times;Serif" w:hAnsi="Times New Roman;Times;Serif"/>
          <w:b/>
          <w:i w:val="false"/>
          <w:caps w:val="false"/>
          <w:smallCaps w:val="false"/>
          <w:sz w:val="20"/>
        </w:rPr>
        <w:t>Warrant Agent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Underwriters hereby confirm their agreement with respect to the sale of the Securities by the Company to the Underwriters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w:t>
        <w:tab/>
        <w:t>       </w:t>
      </w:r>
      <w:r>
        <w:rPr>
          <w:rFonts w:ascii="Times New Roman;Times;Serif" w:hAnsi="Times New Roman;Times;Serif"/>
          <w:b w:val="false"/>
          <w:i w:val="false"/>
          <w:caps w:val="false"/>
          <w:smallCaps w:val="false"/>
          <w:sz w:val="20"/>
          <w:u w:val="single"/>
        </w:rPr>
        <w:t>Registration Statement and Prospectus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prepared and filed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an automatic shelf registration statement on Form S-3 (File No. 333-291305)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the rules and regulations (the “</w:t>
      </w:r>
      <w:r>
        <w:rPr>
          <w:rFonts w:ascii="Times New Roman;Times;Serif" w:hAnsi="Times New Roman;Times;Serif"/>
          <w:b/>
          <w:i w:val="false"/>
          <w:caps w:val="false"/>
          <w:smallCaps w:val="false"/>
          <w:sz w:val="20"/>
        </w:rPr>
        <w:t>Rules and Regulations</w:t>
      </w:r>
      <w:r>
        <w:rPr>
          <w:rFonts w:ascii="Times New Roman;Times;Serif" w:hAnsi="Times New Roman;Times;Serif"/>
          <w:b w:val="false"/>
          <w:i w:val="false"/>
          <w:caps w:val="false"/>
          <w:smallCaps w:val="false"/>
          <w:sz w:val="20"/>
        </w:rPr>
        <w:t>”) of the Commission thereunder relating to the Securities and such amendments to such registration statement (including post effective amendments) as may have been required to the date of this Underwriting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Such registration statement, as amended (including any post effective amendments), became effective upon filing with the Commission pursuant to Rule 462(e) under the Securities Act. Such registration statement, together with the amendments thereto prior to the date of this Agreement, including the information (if any) deemed to be a part of, or incorporated by reference into, the registration statement at the time of effectiveness of such registration statement pursuant to Item 12 of Form S-3 under the Securities Act or by Rule 430B under the Securities Act (“</w:t>
      </w:r>
      <w:r>
        <w:rPr>
          <w:rFonts w:ascii="Times New Roman;Times;Serif" w:hAnsi="Times New Roman;Times;Serif"/>
          <w:b/>
          <w:i w:val="false"/>
          <w:caps w:val="false"/>
          <w:smallCaps w:val="false"/>
          <w:sz w:val="20"/>
        </w:rPr>
        <w:t>Rule 430B Information</w:t>
      </w:r>
      <w:r>
        <w:rPr>
          <w:rFonts w:ascii="Times New Roman;Times;Serif" w:hAnsi="Times New Roman;Times;Serif"/>
          <w:b w:val="false"/>
          <w:i w:val="false"/>
          <w:caps w:val="false"/>
          <w:smallCaps w:val="false"/>
          <w:sz w:val="20"/>
        </w:rPr>
        <w:t>”), is hereinafter referred to as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and the related base prospectus, dated November 6, 2025, included in the Registration Statement at the time the Registration Statement first became effective is hereinafter called the “Base Prospectus.” If the Company has filed or files an abbreviated registration statement pursuant to Rule 462(b) under the Securities Act (the “</w:t>
      </w:r>
      <w:r>
        <w:rPr>
          <w:rFonts w:ascii="Times New Roman;Times;Serif" w:hAnsi="Times New Roman;Times;Serif"/>
          <w:b/>
          <w:i w:val="false"/>
          <w:caps w:val="false"/>
          <w:smallCaps w:val="false"/>
          <w:sz w:val="20"/>
        </w:rPr>
        <w:t>Rule 462 Registration Statement</w:t>
      </w:r>
      <w:r>
        <w:rPr>
          <w:rFonts w:ascii="Times New Roman;Times;Serif" w:hAnsi="Times New Roman;Times;Serif"/>
          <w:b w:val="false"/>
          <w:i w:val="false"/>
          <w:caps w:val="false"/>
          <w:smallCaps w:val="false"/>
          <w:sz w:val="20"/>
        </w:rPr>
        <w:t>”), then from and after the date and time of filing of the Rule 462 Registration Statement, any reference herein to the term Registration Statement shall include such Rule 462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filing with the Commission pursuant to Rule 430B and Rule 424 under the Securities Act a final prospectus supplement to the Base Prospectus relating to the Securities and the offering thereof after the execution and delivery of this Agreement. Such final prospectus supplement as filed, along with the Base Prospectus, is hereinafter called the “</w:t>
      </w:r>
      <w:r>
        <w:rPr>
          <w:rFonts w:ascii="Times New Roman;Times;Serif" w:hAnsi="Times New Roman;Times;Serif"/>
          <w:b/>
          <w:i w:val="false"/>
          <w:caps w:val="false"/>
          <w:smallCaps w:val="false"/>
          <w:sz w:val="20"/>
        </w:rPr>
        <w:t>Final Prospectus</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rPr>
        <w:t>Preliminary Prospectus</w:t>
      </w:r>
      <w:r>
        <w:rPr>
          <w:rFonts w:ascii="Times New Roman;Times;Serif" w:hAnsi="Times New Roman;Times;Serif"/>
          <w:b w:val="false"/>
          <w:i w:val="false"/>
          <w:caps w:val="false"/>
          <w:smallCaps w:val="false"/>
          <w:sz w:val="20"/>
        </w:rPr>
        <w:t>” means the Base Prospectus, together with any preliminary prospectus supplement to the Base Prospectus that describes the Securities and the offering thereof, that omitted the Rule 430B Information and that was used prior to the filing of the Final Prospectus, filed with the Commission pursuant to Rule 424 of the Rules and Regulations, in the form provided to the Underwriters by the Company for use in connection with the offering of the Securities. Such Final Prospectus and any Preliminary Prospectus in the form in which they shall be filed with the Commission pursuant to Rule 424(b) under the Securities Act (including the Base Prospectus as so supplemented) is hereinafter called a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For purposes of this Agreement, all references to the Registration Statement, Rule 462 Registration Statement, the Base Prospectus, any Preliminary Prospectus, the Final Prospectus or any amendment or supplement to any of the foregoing shall be deemed to include the copy filed with the Commission pursuant to its Electronic Data Gathering, Analysis and Retrieval System or any successor system thereto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References made herein to the Base Prospectus, any Preliminary Prospectus or to the Final Prospectus shall be deemed to include any documents incorporated by reference therein pursuant to Item 12 of Form S-3 under the Securities Act as of the date of such prospectus. Any reference to any amendment or supplement to the Registration Statement, the Base Prospectus, any Preliminary Prospectus or the Final Prospectus shall be deemed to include any document filed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which is deemed to be incorporated by reference therein or otherwise deemed by the Rules and Regulations to be a part thereof. The term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shall mean each date that the Registration Statement and any post-effective amendment or amendments thereto became or become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 has not notified the Company of any objection to the use of the form of Registration Statement or any post-effective amendment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w:t>
        <w:tab/>
        <w:t>       </w:t>
      </w:r>
      <w:r>
        <w:rPr>
          <w:rFonts w:ascii="Times New Roman;Times;Serif" w:hAnsi="Times New Roman;Times;Serif"/>
          <w:b w:val="false"/>
          <w:i w:val="false"/>
          <w:caps w:val="false"/>
          <w:smallCaps w:val="false"/>
          <w:sz w:val="20"/>
          <w:u w:val="single"/>
        </w:rPr>
        <w:t>Representations and Warranties of the Company Regarding the Offering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represents and warrants to, and agrees with, the several Underwriters, as of the date hereof and as of the Closing Date,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Accurate Disclosure</w:t>
      </w:r>
      <w:r>
        <w:rPr>
          <w:rFonts w:ascii="Times New Roman;Times;Serif" w:hAnsi="Times New Roman;Times;Serif"/>
          <w:b w:val="false"/>
          <w:i w:val="false"/>
          <w:caps w:val="false"/>
          <w:smallCaps w:val="false"/>
          <w:sz w:val="20"/>
        </w:rPr>
        <w:t>. At the Effective Date, at the date hereof and at the Closing Date, the Registration Statement and any post-effective amendment thereto when filed complied or will comply in all material respects with the requirements of the Securities Act and the Rules and Regulations. The Registration Statement did not and does not contain any untrue statement of a material fact or omit to state a material fact required to be stated therein or necessary to make the statements therein not misleading. The Time of Sale Disclosure Package (as defined below) as of 7:30 P.M. (Eastern time) (the “</w:t>
      </w:r>
      <w:r>
        <w:rPr>
          <w:rFonts w:ascii="Times New Roman;Times;Serif" w:hAnsi="Times New Roman;Times;Serif"/>
          <w:b/>
          <w:i w:val="false"/>
          <w:caps w:val="false"/>
          <w:smallCaps w:val="false"/>
          <w:sz w:val="20"/>
        </w:rPr>
        <w:t>Applicable Time</w:t>
      </w:r>
      <w:r>
        <w:rPr>
          <w:rFonts w:ascii="Times New Roman;Times;Serif" w:hAnsi="Times New Roman;Times;Serif"/>
          <w:b w:val="false"/>
          <w:i w:val="false"/>
          <w:caps w:val="false"/>
          <w:smallCaps w:val="false"/>
          <w:sz w:val="20"/>
        </w:rPr>
        <w:t>”), did not and does not contain an untrue statement of a material fact or omit to state a material fact necessary to make the statements therein, in the light of the circumstances under which they were made, not misleading. The Final Prospectus, as amended or supplemented, as of its date, at the time of filing pursuant to Rule 424(b) under the Securities Act and at the Closing Date, did not, does not and will not contain any untrue statement of a material fact or omit to state a material fact required to be stated therein or necessary to make the statements therein, in the light of the circumstances under which they were made, not misleading. The representations and warranties set forth in the three immediately preceding sentences shall not apply to statements in or omissions from the Registration Statement, the Time of Sale Disclosure Package or any Prospectus in reliance upon, and in conformity with, written information furnished to the Company by any Underwriter or by the Representative on behalf of any Underwriter specifically for use in the preparation thereof, which written information is described in Section 7(f). The Registration Statement contains all exhibits and schedules required to be filed by the Securities Act or the Rules and Regulations. No order preventing or suspending the effectiveness or use of the Registration Statement or any Prospectus is in effect and no proceedings for such purpose have been instituted or are pending, or, to the knowledge of the Company, are contemplated or threatened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Marketing Materials</w:t>
      </w:r>
      <w:r>
        <w:rPr>
          <w:rFonts w:ascii="Times New Roman;Times;Serif" w:hAnsi="Times New Roman;Times;Serif"/>
          <w:b w:val="false"/>
          <w:i w:val="false"/>
          <w:caps w:val="false"/>
          <w:smallCaps w:val="false"/>
          <w:sz w:val="20"/>
        </w:rPr>
        <w:t>. The Company has not distributed any prospectus or other offering material in connection with the offering and sale of the Securities other than any Preliminary Prospectus, the Time of Sale Disclosure Package, the Final Prospectus and the roadshow or investor presentations delivered to and approved by the Representative for use in connection with the marketing of the offering of the Securities (the “</w:t>
      </w:r>
      <w:r>
        <w:rPr>
          <w:rFonts w:ascii="Times New Roman;Times;Serif" w:hAnsi="Times New Roman;Times;Serif"/>
          <w:b/>
          <w:i w:val="false"/>
          <w:caps w:val="false"/>
          <w:smallCaps w:val="false"/>
          <w:sz w:val="20"/>
        </w:rPr>
        <w:t>Marketing Materials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When taken together with the rest of the Time of Sale Disclosure Package or the Final Prospectus, no Issuer Free Writing Prospectus, as of its issue date and at all subsequent times through the completion of the public offer and sale of the Securities, or until any earlier date that the Company notified or notifies the Underwriter as described in ‎Section 5(a)(iv)(B), has, does or will include any untrue statement of a material fact or omission to state any material fact necessary in order to make the statements therein, in the light of the circumstances under which they were made, not misleading; and no Issuer Free Writing Prospectus, as of its issue date and at all subsequent times through the completion of the public offer and sale of the Securities, or until any earlier date that the Company notified or notifies the Underwriter as described in ‎Section 5(a)(iv)(B), has, does or will include information that conflicted, conflicts or will conflict with the information contained in the Registration Statement or the Final Prospectus. The representations and warranties set forth in the immediately preceding sentence shall not apply to statements in or omissions from the Time of Sale Disclosure Package, the Final Prospectus or any Issuer Free Writing Prospectus in reliance upon, and in conformity with, written information furnished to the Company by any Underwriter or by the Representative on behalf of any Underwriter specifically for use in the preparation thereof, which written information is described in Section 7(f). As used in this paragraph and elsewhere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Time of Sale Disclosure Package</w:t>
      </w:r>
      <w:r>
        <w:rPr>
          <w:rFonts w:ascii="Times New Roman;Times;Serif" w:hAnsi="Times New Roman;Times;Serif"/>
          <w:b w:val="false"/>
          <w:i w:val="false"/>
          <w:caps w:val="false"/>
          <w:smallCaps w:val="false"/>
          <w:sz w:val="20"/>
        </w:rPr>
        <w:t xml:space="preserve">” means the Base Prospectus, the Prospectus most recently filed with the Commission before the time of this Agreement, including any preliminary prospectus supplement deemed to be a part thereof, each Issuer Free Writing Prospectus and the description of the transaction provided by the Underwriters included on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means any “issuer free writing prospectus,” as defined in Rule 433 under the Securities Act, relating to the Securities that (A) is required to be filed with the Commission by the Company, or (B) is exempt from filing pursuant to Rule 433(d)(5)(i) or (d)(8) under the Securities Act, in each case in the form filed or required to be filed with the Commission or, if not required to be filed, in the form retained in the Company’s records pursuant to Rule 433(g)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At the time of filing of the Registration Statement and at the date hereof, the Company was not and is not an “ineligible issuer,” as defined in Rule 405 under the Securities Act or an “excluded issuer” as defined in Rule 164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Each Issuer Free Writing Prospectus listed on ‎</w:t>
      </w:r>
      <w:r>
        <w:rPr>
          <w:rFonts w:ascii="Times New Roman;Times;Serif" w:hAnsi="Times New Roman;Times;Serif"/>
          <w:b w:val="false"/>
          <w:i w:val="false"/>
          <w:caps w:val="false"/>
          <w:smallCaps w:val="false"/>
          <w:sz w:val="20"/>
          <w:u w:val="single"/>
        </w:rPr>
        <w:t>Schedule III</w:t>
      </w:r>
      <w:r>
        <w:rPr>
          <w:rFonts w:ascii="Times New Roman;Times;Serif" w:hAnsi="Times New Roman;Times;Serif"/>
          <w:b w:val="false"/>
          <w:i w:val="false"/>
          <w:caps w:val="false"/>
          <w:smallCaps w:val="false"/>
          <w:sz w:val="20"/>
        </w:rPr>
        <w:t xml:space="preserve"> satisfied, as of its issue date and at all subsequent times through the Prospectus Delivery Period (as defined below), all other conditions as may be applicable to its use as set forth in Rules 164 and 433 under the Securities Act, including any legend, record-keeping or other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consolidated financial statements of the Company included or incorporated by reference in the Registration Statement, the Time of Sale Disclosure Package and the Final Prospectus, together with the related notes and schedules, present fairly, in all material respects, the consolidated financial position of the Company and its consolidated subsidiaries as of the dates indicated and the consolidated results of operations, cash flows and changes in stockholders’ equity of the Company and its consolidated subsidiaries for the periods specified (subject, in the case of unaudited statements, to normal year-end audit adjustments) and have been prepared in all material respects in compliance with the published requirements of the Securities Act and Exchange Act, as applicable, and in conformity with generally accepted accounting principles in the United States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applied on a consistent basis (except (i) for such adjustments to accounting standards and practices as are noted therein and (ii) in the case of unaudited interim statements, to the extent they may exclude footnotes or may be condensed or summary statements) during the periods involved; the other financial and statistical data with respect to the Company and its consolidated subsidiaries contained or incorporated by reference in the Registration Statement, the Time of Sale Disclosure Package and the Final Prospectus, are, in all material respects,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the Time of Sale Disclosure Package or the Final Prospectus that are not included or incorporated by reference as required; the Company and its subsidiaries, on a consolidated basis, do not have any material liabilities or obligations, direct or contingent (including any off balance sheet obligations), not described in the Registration Statement, the Time of Sale Disclosure Package and the Final Prospectus which are required to be described in the Registration Statement, the Time of Sale Disclosure Package or the Final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Independent Accountants</w:t>
      </w:r>
      <w:r>
        <w:rPr>
          <w:rFonts w:ascii="Times New Roman;Times;Serif" w:hAnsi="Times New Roman;Times;Serif"/>
          <w:b w:val="false"/>
          <w:i w:val="false"/>
          <w:caps w:val="false"/>
          <w:smallCaps w:val="false"/>
          <w:sz w:val="20"/>
        </w:rPr>
        <w:t>. Deloitte &amp; Touche LLP, who have certified certain financial statements of the Company and its consolidated subsidiaries and whose report appears in the Prospectus and the Time of Sale Disclosure Package or is incorporated by reference therein, are independent public accountants as required by the Securities Act and the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Accounting Controls</w:t>
      </w:r>
      <w:r>
        <w:rPr>
          <w:rFonts w:ascii="Times New Roman;Times;Serif" w:hAnsi="Times New Roman;Times;Serif"/>
          <w:b w:val="false"/>
          <w:i w:val="false"/>
          <w:caps w:val="false"/>
          <w:smallCaps w:val="false"/>
          <w:sz w:val="20"/>
        </w:rPr>
        <w:t>. The Company maintains a system of internal control over financial reporting (as such term is defined in Rule 13a-15(f) of the Exchange Act) that complies with the requirements of the Exchange Act and that has been designed by, or under the supervision of, the Company’s principal executive and principal financial officers, to provide reasonable assurance regarding the reliability of financial reporting and the preparation of financial statements for external purposes in accordance with GAAP. The Company maintains internal accounting controls sufficient to provide reasonable assurance that (i) transactions are executed in accordance with management’s general or specific authorization, (ii) transactions are recorded as necessary to permit preparation of the Company’s financial statements in conformity with accounting principles generally accepted in the United States and to maintain accountability for its assets, (iii) access to the Company’s assets is permitted only in accordance with management’s general or specific authorization, (iv) the recorded accountability for the Company’s assets is compared with existing assets at reasonable intervals and appropriate action is taken with respect to any differences and (v) the interactive data in eXtensible Business Reporting Language included or incorporated by reference in the Registration Statement, the Time of Sale Disclosure Package and the Final Prospectus fairly present the information called for in all material respects and are prepared in accordance with the Commission's rules and guidelines applicable thereto. As of the date of the most recent balance sheet of the Company and its consolidated subsidiaries reviewed or audited by Deloitte &amp; Touche LLP and the audit committee of the board of directors of the Company, there were no material weaknesses in the Company’s internal controls and there has been no change in the Company’s internal control over financial reporting that has materially affected, or is reasonably likely to materially affect, the Company’s internal control over financial reporting (other than as set forth in the Registration Statement, the Time of Sale Disclosure Package or the Final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Disclosure Controls</w:t>
      </w:r>
      <w:r>
        <w:rPr>
          <w:rFonts w:ascii="Times New Roman;Times;Serif" w:hAnsi="Times New Roman;Times;Serif"/>
          <w:b w:val="false"/>
          <w:i w:val="false"/>
          <w:caps w:val="false"/>
          <w:smallCaps w:val="false"/>
          <w:sz w:val="20"/>
        </w:rPr>
        <w:t>. (i) The Company maintains disclosure controls and procedures (as such term is defined in Rule 13a-15(e) under the Exchange Act), (ii) such disclosure controls and procedures are designed to ensure that the information required to be disclosed by the Company in the reports it files or submits under the Exchange Act is accumulated and communicated to management of the Company, including its principal executive officer and principal financial officer, as appropriate, to allow timely decisions regarding required disclosure to be made and (iii) such disclosure controls and procedures are effective in all material respects to perform the functions for which they were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r>
        <w:rPr>
          <w:rFonts w:ascii="Times New Roman;Times;Serif" w:hAnsi="Times New Roman;Times;Serif"/>
          <w:b w:val="false"/>
          <w:i w:val="false"/>
          <w:caps w:val="false"/>
          <w:smallCaps w:val="false"/>
          <w:sz w:val="20"/>
          <w:u w:val="single"/>
        </w:rPr>
        <w:t>Forward-Looking Statements</w:t>
      </w:r>
      <w:r>
        <w:rPr>
          <w:rFonts w:ascii="Times New Roman;Times;Serif" w:hAnsi="Times New Roman;Times;Serif"/>
          <w:b w:val="false"/>
          <w:i w:val="false"/>
          <w:caps w:val="false"/>
          <w:smallCaps w:val="false"/>
          <w:sz w:val="20"/>
        </w:rPr>
        <w:t>.  No forward looking statement (within the meaning of Section 27A of the Securities Act and Section 21E of the Exchange Act) included or incorporated by reference in any of the Registration Statement, the Time of Sale Disclosure Package, the Final Prospectus or the Marketing Materials has been made or reaffirmed without a reasonable basis or has been disclosed other than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val="false"/>
          <w:i w:val="false"/>
          <w:caps w:val="false"/>
          <w:smallCaps w:val="false"/>
          <w:sz w:val="20"/>
          <w:u w:val="single"/>
        </w:rPr>
        <w:t>Statistical and Marketing-Related Data</w:t>
      </w:r>
      <w:r>
        <w:rPr>
          <w:rFonts w:ascii="Times New Roman;Times;Serif" w:hAnsi="Times New Roman;Times;Serif"/>
          <w:b w:val="false"/>
          <w:i w:val="false"/>
          <w:caps w:val="false"/>
          <w:smallCaps w:val="false"/>
          <w:sz w:val="20"/>
        </w:rPr>
        <w:t>.  Any statistical and market-related data included in the Registration Statement, the Time of Sale Disclosure Package or the Final Prospectus, or included in the Marketing Materials are based on or derived from sources that the Company believes, after reasonable inquiry, to be reliable and accurate in all material respects and, to the extent required, the Company has obtained the written consent to the use of such data from such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Absence of Manipulation</w:t>
      </w:r>
      <w:r>
        <w:rPr>
          <w:rFonts w:ascii="Times New Roman;Times;Serif" w:hAnsi="Times New Roman;Times;Serif"/>
          <w:b w:val="false"/>
          <w:i w:val="false"/>
          <w:caps w:val="false"/>
          <w:smallCaps w:val="false"/>
          <w:sz w:val="20"/>
        </w:rPr>
        <w:t>. Neither the Company nor any of its subsidiaries, nor, to the knowledge of the Company, any of their respective directors, officers or controlling persons has taken, directly or indirectly, any action designed to constitute, or that has constituted or would reasonably be expected to cause or result in, under the Exchange Act or otherwise, the stabilization or manipulation of the price of any security of the Company in connection with the offering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is not required, and after giving effect to the offering and sale of the Securities and the application of the proceeds therefrom as described under “Use of Proceeds” in the Time of Sale Disclosure Package and the Final Prospectus, including any cash exercise of the Warrants, will not be required to register as an “investment company” or an entity “controlled” by an “investment company,” as such terms are defined in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w:t>
        <w:tab/>
        <w:t>      </w:t>
      </w:r>
      <w:r>
        <w:rPr>
          <w:rFonts w:ascii="Times New Roman;Times;Serif" w:hAnsi="Times New Roman;Times;Serif"/>
          <w:b w:val="false"/>
          <w:i w:val="false"/>
          <w:caps w:val="false"/>
          <w:smallCaps w:val="false"/>
          <w:sz w:val="20"/>
          <w:u w:val="single"/>
        </w:rPr>
        <w:t>Representations and Warranties Regarding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represents and warrants to, and agrees with, the several Underwriters, as of the date hereof and as of the Closing Date,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Good Standing</w:t>
      </w:r>
      <w:r>
        <w:rPr>
          <w:rFonts w:ascii="Times New Roman;Times;Serif" w:hAnsi="Times New Roman;Times;Serif"/>
          <w:b w:val="false"/>
          <w:i w:val="false"/>
          <w:caps w:val="false"/>
          <w:smallCaps w:val="false"/>
          <w:sz w:val="20"/>
        </w:rPr>
        <w:t>. The Company and any subsidiary that is a significant subsidiary (as such term is defined in Rule 1-02 of Regulation S-X promulgated by the Commission) (each, a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collectively, the “</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have been duly incorporated, formed, or organized, as applicable, validly existing and in good standing under the laws of their respective jurisdictions of incorporation, formation, or organization, as applicable. The Company and the Subsidiaries are duly licensed or qualified as a foreign corporation for the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the Time of Sale Disclosure Package and the Final Prospectus, except where the failure to be so qualified or in good standing or have such power or authority would not, individually or in the aggregate, have a material adverse effect on the assets, business, operations, earnings, properties, condition (financial or otherwise), prospects, stockholders’ equity or results of operations of the Company and its subsidiaries taken as a whole, or prevent the consummation of the transactions contemplated hereby (a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Well-Known Seasoned Issuer</w:t>
      </w:r>
      <w:r>
        <w:rPr>
          <w:rFonts w:ascii="Times New Roman;Times;Serif" w:hAnsi="Times New Roman;Times;Serif"/>
          <w:b w:val="false"/>
          <w:i w:val="false"/>
          <w:caps w:val="false"/>
          <w:smallCaps w:val="false"/>
          <w:sz w:val="20"/>
        </w:rPr>
        <w:t>. Since the time of the initial filing of the Registration Statement the Company has been, and continues to be, a “well-known seasoned issuer” (as defined in Rule 405) eligible to use Form S-3 for the offering of the Securities. The Company was not and is not an ineligible issuer as defined in Rule 405 under the Securities Act at the times specified in Rules 164 and 433 under the Securities Act in connection with the offering of the Securities. The Registration Statement is an “automatic shelf registration statement” (as defined in Rule 405).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Actively-Traded Security. The Common Stock is an “actively-traded security” exempted from the requirements of Rule 101 of Regulation M under the Exchange Act by subsection (c)(1) of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The Company has full legal right, power and authority to enter into this Agreement and the Warrant Agent Agreement and perform the transactions contemplated hereby and thereby, including the issuance of the Shares, the Common Warrants, the Pre-Funded Warrants and any Warrant Shares. Each of this Agreement and the Warrant Agent Agreement has been duly authorized by the Company, and when executed and delivered by the Company, and assuming the due authorization, execution and delivery by the other parties hereto, will constitute the valid, legal and binding obligation of the Company, enforceable against the Company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 The Shares to be issued and sold by the Company hereunder have been duly authorized by the Company and, when issued and delivered and paid for as provided herein, will be duly and validly issued, will be fully paid and nonassessable and will conform to the descriptions thereof in the Registration Statement, the Time of Sale Disclosure Package and the Final Prospectus, (ii) the Pre-Funded Warrants and the Common Warrants have been duly authorized by the Company, and, when executed and delivered by the Company, will be validly issued and constitute valid, legal and binding obligations of the Company, enforceable against the Company in accordance with their terms, except as such enforceability may be limited by bankruptcy, insolvency, reorganization or similar laws affecting the rights of creditors generally and subject to general principles of equity, and will conform to the descriptions thereof in the Registration Statement, the Time of Sale Disclosure Package and the Final Prospectus, (iii) the Warrant Shares to be issued by the Company upon exercise of the Pre-Funded Warrants and the Common Warrants have been duly and validly authorized and reserved for issuance upon exercise of the Pre-Funded Warrants and the Common Warrants in a number sufficient to meet the current exercise requirements and, when issued and delivered upon exercise pursuant to the terms of the Pre-Funded Warrants and the Common Warrants, the Warrant Shares will be duly and validly issued, fully paid and non-assessable and will conform to the descriptions thereof in the Registration Statement, the Time of Sale Disclosure Package and the Final Prospectus; and (iv) issuance of the Securities is not, and the issuance of the Warrant Shares will not be, subject to any preemptive or similar rights to subscribe for or purchase the Securities or the Warrant Shares that have not been duly and validly waived or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Neither the execution, delivery and performance of this Agreement, the Warrant Agent Agreement, the Pre-Funded Warrants and the Common Warrants by the Company nor the consummation of any of the transactions contemplated hereby (including, without limitation, the issuance and sale by the Company of the Shares, the Pre-Funded Warrants and the Common Warrants)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and defaults that would not reasonably be expected to have a Material Adverse Effect; nor will such action result (x) in any violation of any of the provisions of the organizational or governing documents of the Company, or (y) in any violation of the provisions of any statute or any order, rule or regulation applicable to the Company or of any court or of any federal, state or other regulatory authority or other government body having jurisdiction over the Company, except in the case of clause (y) where such violation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No consent, approval, authorization or order of, or filing, registration or qualification with, any court or governmental agency or body having jurisdiction over the Company or any of its subsidiaries or any of their properties or assets is required for the issue and sale of the Shares, the Pre-Funded Warrants and the Common Warrants by the Company, the issuance of Warrant Shares upon exercise of the Pre-Funded Warrants and the Common Warrants in accordance with their terms, the execution, delivery and performance of this Agreement, the Warrant Agent Agreement, the Pre-Funded Warrants and the Common Warrants by the Company, the consummation of the transactions contemplated hereby, the application of the proceeds from the sale of the Securities as described under “Use of Proceeds” in the Time of Sale Disclosure Package and the Final Prospectus, except (i) for the registration of the Securities under the Securities Act and such consents, approvals, authorizations, orders, filings, registrations or qualifications as may be required under the Exchange Act and applicable state or foreign securities laws and/or the bylaws and rules of the Financial Industry Regulatory Authority, Inc.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or the NYSE or such other exchange on which the Common Stock is then listed or quoted in connection with the issuance and sale of the Securities and (ii) as have been previously obtained by the Company or the absence of which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issued and outstanding shares of capital stock of the Company have been validly issued, are fully paid and non-assessable and, other than as disclosed in the Registration Statement, the Time of Sale Disclosure Package and the Final Prospectus and except for rights pursuant to the Section 382 Rights Agreement between the Company and Computershare Trust Company, N.A. and Computershare Inc., as rights agent, as amended from time to time (the “</w:t>
      </w:r>
      <w:r>
        <w:rPr>
          <w:rFonts w:ascii="Times New Roman;Times;Serif" w:hAnsi="Times New Roman;Times;Serif"/>
          <w:b/>
          <w:i w:val="false"/>
          <w:caps w:val="false"/>
          <w:smallCaps w:val="false"/>
          <w:sz w:val="20"/>
        </w:rPr>
        <w:t>Rights Plan</w:t>
      </w:r>
      <w:r>
        <w:rPr>
          <w:rFonts w:ascii="Times New Roman;Times;Serif" w:hAnsi="Times New Roman;Times;Serif"/>
          <w:b w:val="false"/>
          <w:i w:val="false"/>
          <w:caps w:val="false"/>
          <w:smallCaps w:val="false"/>
          <w:sz w:val="20"/>
        </w:rPr>
        <w:t>”), are not subject to any preemptive rights, rights of first refusal or similar rights. The Company has an authorized, issued and outstanding capitalization as set forth in the Registration Statement, the Time of Sale Disclosure Package and the Final Prospectus as of the dates referred to therein (other than (i) the grant of additional options or other equity awards under the Company’s existing stock option plans or equity incentive plans, (ii) changes in the number of outstanding Common Stock of the Company due to the issuance of shares upon the exercise or conversion of securities exercisable for, or convertible into, Common Stock, including the issuance of Common Stock upon conversion of the Company’s 2.25% Convertible Senior Notes due 2030 and 0.00% Convertible Senior Notes due 2032, or upon the vesting, exercise or settlement of equity awards under the Company’s equity incentive plans or due to the sale of shares of Common Stock in connection with any employee stock purchase plan of the Company whether now in effect or hereafter implemented, (iii) as a result of the issuance of the Securities or the issuance of any Warrant Shares upon exercise of the Warrants in accordance with their terms, or (iv) any repurchases of capital stock of the Company) and such authorized capital stock conforms in all material respects to the description thereof set forth in the Registration Statement, the Time of Sale Disclosure Package and the Final Prospectus. The descriptions of the Securities in the Registration Statement, the Time of Sale Disclosure Package and the Final Prospectus are complete and accurate in all material respects. Except as disclosed in or contemplated by the Registration Statement, the Time of Sale Disclosure Package or the Final Prospectus or for the issuances of options or restricted stock in the ordinary course of business, the Company did not have outstanding any options to purchase, or any rights or warrants to subscribe for, or any securities or obligations convertible into, or exchangeable for, or any contracts or commitments to issue or sell, any shares of capital stock or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val="false"/>
          <w:i w:val="false"/>
          <w:caps w:val="false"/>
          <w:smallCaps w:val="false"/>
          <w:sz w:val="20"/>
          <w:u w:val="single"/>
        </w:rPr>
        <w:t>No Preferential Rights</w:t>
      </w:r>
      <w:r>
        <w:rPr>
          <w:rFonts w:ascii="Times New Roman;Times;Serif" w:hAnsi="Times New Roman;Times;Serif"/>
          <w:b w:val="false"/>
          <w:i w:val="false"/>
          <w:caps w:val="false"/>
          <w:smallCaps w:val="false"/>
          <w:sz w:val="20"/>
        </w:rPr>
        <w:t>. (i) No person, as such term is defined in Rule 1-02 of Regulation S-X promulgated under the Securities Act (in this paragraph, each, a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has the right, contractual or otherwise, to cause the Company to issue or sell to such Person any Common Stock or shares of any other capital stock or other securities of the Company (other than upon the exercise of options or warrants to purchase Common Stock, the vesting of restricted stock units or restricted shares of Common Stock, the conversion of convertible securities, including the conversion of the Company’s 2.25% Convertible Senior Notes due 2030 and 0.00% Convertible Senior Notes due 2032, or upon the exercise of options or other equity awards that may be granted from time to time under the Company’s stock option or equity incentive plan or upon the sale of Common Stock in connection with any employee stock purchase plan of the Company whether now in effect or hereafter implemented), (ii) no Person has any preemptive rights, rights of first refusal, or any other rights (whether pursuant to a “poison pill” provision or otherwise) to purchase any Common Stock or shares of any other capital stock or other securities of the Company from the Company which have not been duly waived with respect to the offering contemplated hereby, (iii) no Person has the right to act as an underwriter or as a financial advisor to the Company in connection with the offer and sale of the Securities, and (iv) no Person has the right, contractual or otherwise, to require the Company to register under the Securities Act any Common Stock or shares of any other capital stock or other securities of the Company; except in each case for (1) rights pursuant to the Rights Plan, and (2) such rights as have been waived on or prior to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and its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do so would not reasonably be expected to have a Material Adverse Effect. Except as otherwise disclosed in or contemplated by the Registration Statement, the Time of Sale Disclosure Package or the Final Prospectus, no tax deficiency has been determined adversely to the Company or any of its subsidiaries which has had, or would reasonably be expected to have, individually or in the aggregate, a Material Adverse Effect. The Company has no knowledge of any federal, state or other governmental tax deficiency, penalty or assessment which has been asserted or threatened against it which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w:t>
      </w:r>
      <w:r>
        <w:rPr>
          <w:rFonts w:ascii="Times New Roman;Times;Serif" w:hAnsi="Times New Roman;Times;Serif"/>
          <w:b w:val="false"/>
          <w:i w:val="false"/>
          <w:caps w:val="false"/>
          <w:smallCaps w:val="false"/>
          <w:sz w:val="20"/>
          <w:u w:val="single"/>
        </w:rPr>
        <w:t>Material Change</w:t>
      </w:r>
      <w:r>
        <w:rPr>
          <w:rFonts w:ascii="Times New Roman;Times;Serif" w:hAnsi="Times New Roman;Times;Serif"/>
          <w:b w:val="false"/>
          <w:i w:val="false"/>
          <w:caps w:val="false"/>
          <w:smallCaps w:val="false"/>
          <w:sz w:val="20"/>
        </w:rPr>
        <w:t>. Except as contemplated in the Time of Sale Disclosure Package and in the Final Prospectus, since the date of the latest audited financial statements included or incorporated by reference in the Registration Statement, the Time of Sale Disclosure Package or the Final Prospectus, neither the Company nor any of its subsidiaries has (i) sustained any loss or interference in its business from fire, explosion, flood or other calamity, whether or not covered by insurance, or from any labor dispute or court or governmental action, order or decree (whether domestic or foreign), (ii) issued or granted any securities, (iii) incurred any material liability or obligation, direct or contingent, other than liabilities and obligations that were incurred in the ordinary course of business, (iv) entered into any material transaction not in the ordinary course of business, or (v) declared or paid any dividend on its capital stock, and since such date, there has not been any change in the capital stock or long-term debt of the Company or any of its subsidiaries or any adverse change, or any development involving a prospective adverse change, in or affecting the condition (financial or otherwise), results of operations, stockholders’ equity, properties, management, business or prospects of the Company and its subsidiaries taken as a whole, in each case except as would not,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t>
      </w:r>
      <w:r>
        <w:rPr>
          <w:rFonts w:ascii="Times New Roman;Times;Serif" w:hAnsi="Times New Roman;Times;Serif"/>
          <w:b w:val="false"/>
          <w:i w:val="false"/>
          <w:caps w:val="false"/>
          <w:smallCaps w:val="false"/>
          <w:sz w:val="20"/>
          <w:u w:val="single"/>
        </w:rPr>
        <w:t>Absence of Proceedings</w:t>
      </w:r>
      <w:r>
        <w:rPr>
          <w:rFonts w:ascii="Times New Roman;Times;Serif" w:hAnsi="Times New Roman;Times;Serif"/>
          <w:b w:val="false"/>
          <w:i w:val="false"/>
          <w:caps w:val="false"/>
          <w:smallCaps w:val="false"/>
          <w:sz w:val="20"/>
        </w:rPr>
        <w:t>. There are no legal or governmental proceedings pending, or to the Company’s knowledge, threatened to which the Company or any of its subsidiaries is a party or to which any of the properties or assets of the Company or any of its subsidiaries is subject (i) other than proceedings accurately described in all material respects in the Registration Statement, the Time of Sale Disclosure Package and the Final Prospectus and proceedings that would not reasonably be expected to have a Material Adverse Effect on the Company and its subsidiaries, taken as a whole, or on the power or ability of the Company to perform its obligations under this Agreement, the Warrant Agent Agreement, the Pre-Funded Warrants or the Common Warrants or to consummate the transactions contemplated by the Final Prospectus or (ii) that are required to be described in the Registration Statement, the Time of Sale Disclosure Package or the Final Prospectus and are not so described.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The Company and its subsidiaries possess or have obtained all licenses, certificates, consents, orders, approvals,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currently conducted, as described in the Registration Statement, the Time of Sale Disclosure Package and the Final Prospectus (the “</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 except where the failure to possess, obtain or make the same would not, individually or in the aggregate, reasonably be expected to have a Material Adverse Effect. The Company and each of its subsidiaries have fulfilled and performed all of their respective obligations with respect to the Permits, and are operating in compliance with such Permits, and no event has occurred that allows, or after notice or lapse of time would allow, revocation or termination thereof or results in any other impairment of the rights of the holder of any such Permits, except where the failure to fulfill and perform all of their respective obligations or operate in compliance would not, individually or in the aggregate, reasonably be expected to have a Material Adverse Effect. Neither the Company nor any of its subsidiaries has received notice of any proceeding relating to revocation or modification of any such Permit or has any reason to believe that such Permit will not be renewed in the ordinary course, except where the revocation, modification, or failure to obtain any such renewal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w:t>
      </w:r>
      <w:r>
        <w:rPr>
          <w:rFonts w:ascii="Times New Roman;Times;Serif" w:hAnsi="Times New Roman;Times;Serif"/>
          <w:b w:val="false"/>
          <w:i w:val="false"/>
          <w:caps w:val="false"/>
          <w:smallCaps w:val="false"/>
          <w:sz w:val="20"/>
          <w:u w:val="single"/>
        </w:rPr>
        <w:t>Good Title</w:t>
      </w:r>
      <w:r>
        <w:rPr>
          <w:rFonts w:ascii="Times New Roman;Times;Serif" w:hAnsi="Times New Roman;Times;Serif"/>
          <w:b w:val="false"/>
          <w:i w:val="false"/>
          <w:caps w:val="false"/>
          <w:smallCaps w:val="false"/>
          <w:sz w:val="20"/>
        </w:rPr>
        <w:t>. The Company and its subsidiaries have good and valid title to all personal property described in the Registration Statement, the Time of Sale Disclosure Package and the Final Prospectus as being owned by them that are material to the businesses of the Company or such subsidiary, in each case free and clear of all liens, encumbrances and claims, except those that (i) do not materially interfere with the use made of such property by the Company and its subsidiaries or (ii) would not, individually or in the aggregate, reasonably be expected to have a Material Adverse Effect. Any real property described in the Registration Statement, the Time of Sale Disclosure Package and the Final Prospectus as being leased by the Company and its subsidiaries is held by them under valid, existing and enforceable leases, except those that (A) do not materially interfere with the use made or proposed to be made of such property by the Company or its subsidiaries or (B)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its subsidiaries own or possess adequate enforceable rights to use, or can acquire on reasonable terms ownership or adequate enforceable rights to use, all patents, patent applications, trademarks (both registered and unregistered), trade names, trademark registrations, service marks, service mark registrations, Internet domain name registrations, copyrights, copyright registrations, licenses and know-how (including trade secrets and other unpatented and/or unpatentable proprietary or confidential information, systems or procedures) (collectively, the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necessary for the conduct of their respective businesses as conducted as of the date hereof, except to the extent that the failure to own or possess adequate rights to use such Intellectual Property would not, individually or in the aggregate, reasonably be expected to have a Material Adverse Effect. The Company and its subsidiaries are not aware of any pending, or received written notice of, any claim of infringement or conflict with asserted Intellectual Property rights of others, which infringement or conflict would reasonably be expected to result in a Material Adverse Effect. There are no pending, or to the Company’s knowledge, threatened judicial proceedings or interference proceedings against the Company or any of its subsidiaries, challenging the Company’s or any subsidiary’s rights in or to or the validity or the scope of any of the Company’s or its subsidiaries’ material patents, patent applications or proprietary information, except for such right or claim that would not, individually or in the aggregate, reasonably be expected to result in a Material Adverse Effect; to the Company’s knowledge, no other entity or individual has any right or claim in any of the Company’s or any subsidiary’s material patents, patent applications or any patent to be issued therefrom by virtue of any contract, license or other agreement entered into between such entity or individual and the Company or any of its subsidiaries or by any non-contractual obligation, other than by written licenses granted by the Company or any of its subsidiaries, except for such right or claim that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w:t>
      </w:r>
      <w:r>
        <w:rPr>
          <w:rFonts w:ascii="Times New Roman;Times;Serif" w:hAnsi="Times New Roman;Times;Serif"/>
          <w:b w:val="false"/>
          <w:i w:val="false"/>
          <w:caps w:val="false"/>
          <w:smallCaps w:val="false"/>
          <w:sz w:val="20"/>
          <w:u w:val="single"/>
        </w:rPr>
        <w:t>Employment Matters</w:t>
      </w:r>
      <w:r>
        <w:rPr>
          <w:rFonts w:ascii="Times New Roman;Times;Serif" w:hAnsi="Times New Roman;Times;Serif"/>
          <w:b w:val="false"/>
          <w:i w:val="false"/>
          <w:caps w:val="false"/>
          <w:smallCaps w:val="false"/>
          <w:sz w:val="20"/>
        </w:rPr>
        <w:t>. No labor disturbance by or dispute with employees of the Company or any subsidiary exists or, to the knowledge of the Company, is threatened which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w:t>
      </w:r>
      <w:r>
        <w:rPr>
          <w:rFonts w:ascii="Times New Roman;Times;Serif" w:hAnsi="Times New Roman;Times;Serif"/>
          <w:b w:val="false"/>
          <w:i w:val="false"/>
          <w:caps w:val="false"/>
          <w:smallCaps w:val="false"/>
          <w:sz w:val="20"/>
          <w:u w:val="single"/>
        </w:rPr>
        <w:t>Compliance with Employment Laws</w:t>
      </w:r>
      <w:r>
        <w:rPr>
          <w:rFonts w:ascii="Times New Roman;Times;Serif" w:hAnsi="Times New Roman;Times;Serif"/>
          <w:b w:val="false"/>
          <w:i w:val="false"/>
          <w:caps w:val="false"/>
          <w:smallCaps w:val="false"/>
          <w:sz w:val="20"/>
        </w:rPr>
        <w:t>. Neither the Company nor any subsidiary is in violation of or has received written notice of any violation with respect to any federal or state law relating to discrimination in the hiring, promotion or pay of employees, nor any applicable federal or state wage and hour laws, nor any state law precluding the denial of credit due to the neighborhood in which a property is situated, the violation of any of which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w:t>
      </w:r>
      <w:r>
        <w:rPr>
          <w:rFonts w:ascii="Times New Roman;Times;Serif" w:hAnsi="Times New Roman;Times;Serif"/>
          <w:b w:val="false"/>
          <w:i w:val="false"/>
          <w:caps w:val="false"/>
          <w:smallCaps w:val="false"/>
          <w:sz w:val="20"/>
          <w:u w:val="single"/>
        </w:rPr>
        <w:t>ERISA Compliance</w:t>
      </w:r>
      <w:r>
        <w:rPr>
          <w:rFonts w:ascii="Times New Roman;Times;Serif" w:hAnsi="Times New Roman;Times;Serif"/>
          <w:b w:val="false"/>
          <w:i w:val="false"/>
          <w:caps w:val="false"/>
          <w:smallCaps w:val="false"/>
          <w:sz w:val="20"/>
        </w:rPr>
        <w:t>. To the knowledge of the Company, (i) each material employee benefit plan, within the meaning of Section 3(3) of the Employee Retirement Income Security Act of 1974, as amended (“ERISA”) that is maintained, administered or contributed to by the Company or any of its affiliates for employees or former employees of the Company and its subsidiaries has been maintained in material compliance with its terms and the requirements of any applicable statutes, orders, rules and regulations, including but not limited to ERISA and the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(ii)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(iii) for each such plan that is subject to the funding rules of Section 412 of the Code or Section 302 of ERISA, Section 430 of the Code is and has been satisfied, the plan is not in “at risk” status for purposes of Section 430 of the Code, no waiver of any minimum funding standard or any extension of any amortization period has been requested or granted, and the fair market value of the assets of each such plan (excluding for these purposes accrued but unpaid contributions) equals or exceeds the present value of all benefits accrued under such plan determined using reasonable actuarial assumptions, other than, in the case of (i), (ii) and (iii) above, as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w:t>
      </w:r>
      <w:r>
        <w:rPr>
          <w:rFonts w:ascii="Times New Roman;Times;Serif" w:hAnsi="Times New Roman;Times;Serif"/>
          <w:b w:val="false"/>
          <w:i w:val="false"/>
          <w:caps w:val="false"/>
          <w:smallCaps w:val="false"/>
          <w:sz w:val="20"/>
          <w:u w:val="single"/>
        </w:rPr>
        <w:t>Compliance with Applicable Laws</w:t>
      </w:r>
      <w:r>
        <w:rPr>
          <w:rFonts w:ascii="Times New Roman;Times;Serif" w:hAnsi="Times New Roman;Times;Serif"/>
          <w:b w:val="false"/>
          <w:i w:val="false"/>
          <w:caps w:val="false"/>
          <w:smallCaps w:val="false"/>
          <w:sz w:val="20"/>
        </w:rPr>
        <w:t>.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The Company and each of its subsidiaries (i) are in compliance with all applicable federal, state, local and foreign laws, rules, regulations, decisions and orders relating to the protection of the environment (including natural resources), hazardous or toxic substances or wastes, pollutants or contaminants (“</w:t>
      </w:r>
      <w:r>
        <w:rPr>
          <w:rFonts w:ascii="Times New Roman;Times;Serif" w:hAnsi="Times New Roman;Times;Serif"/>
          <w:b/>
          <w:i w:val="false"/>
          <w:caps w:val="false"/>
          <w:smallCaps w:val="false"/>
          <w:sz w:val="20"/>
        </w:rPr>
        <w:t>Hazardous Substances</w:t>
      </w:r>
      <w:r>
        <w:rPr>
          <w:rFonts w:ascii="Times New Roman;Times;Serif" w:hAnsi="Times New Roman;Times;Serif"/>
          <w:b w:val="false"/>
          <w:i w:val="false"/>
          <w:caps w:val="false"/>
          <w:smallCaps w:val="false"/>
          <w:sz w:val="20"/>
        </w:rPr>
        <w:t>”), or human health and safety (as they relate to exposure to Hazardous Substances) (collectively,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(ii) have obtained and are in compliance with all permits, licenses or other approvals required of them under applicable Environmental Laws to conduct their respective businesses as described in the Registration Statement, the Time of Sale Disclosure Package and the Final Prospectus; and (iii) have not received written notice of any actual or potential liability (including for the investigation or remediation of any disposal or release of Hazardous Substances) under Environmental Laws, except, in the case of any of clauses (i), (ii) or (iii) above, for any such failure to comply, failure to obtain required permits, licenses, or other approvals or liability as would not reasonably be expected to have, individually or in the aggregate, a Material Adverse Effect. Except as described in the Registration Statement, the Time of Sale Disclosure Package and the Final Prospectus, (A) there are no proceedings that are pending, or to the knowledge of the Company, threatened or contemplated, against the Company or any of its subsidiaries under Environmental Laws in which a governmental authority is also a party, other than such proceedings regarding which it is reasonably believed no monetary sanctions of $300,000 or more will be imposed and (B) the Company and its subsidiaries are not aware of any issues regarding compliance with Environmental Laws, including any pending or proposed Environmental Laws, or liabilities or other obligations under Environmental Laws or concerning Hazardous Substances that could reasonably be expected to have, individually or in the aggregate, a Material Adverse Effect on the capital expenditures, earnings or competitive position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w:t>
      </w:r>
      <w:r>
        <w:rPr>
          <w:rFonts w:ascii="Times New Roman;Times;Serif" w:hAnsi="Times New Roman;Times;Serif"/>
          <w:b w:val="false"/>
          <w:i w:val="false"/>
          <w:caps w:val="false"/>
          <w:smallCaps w:val="false"/>
          <w:sz w:val="20"/>
          <w:u w:val="single"/>
        </w:rPr>
        <w:t>SOX Compliance</w:t>
      </w:r>
      <w:r>
        <w:rPr>
          <w:rFonts w:ascii="Times New Roman;Times;Serif" w:hAnsi="Times New Roman;Times;Serif"/>
          <w:b w:val="false"/>
          <w:i w:val="false"/>
          <w:caps w:val="false"/>
          <w:smallCaps w:val="false"/>
          <w:sz w:val="20"/>
        </w:rPr>
        <w:t>. The Company is in compliance in all material respects with all applicable provisions of the Sarbanes-Oxley Act of 2002 and all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to which the Company or its subsidiaries are subject, the rules and regulations thereunder and any related or similar rules, regulations or guidelines, issued, administered or enforced by any governmental agency having jurisdiction over the Company (collectively, the “</w:t>
      </w:r>
      <w:r>
        <w:rPr>
          <w:rFonts w:ascii="Times New Roman;Times;Serif" w:hAnsi="Times New Roman;Times;Serif"/>
          <w:b/>
          <w:i w:val="false"/>
          <w:caps w:val="false"/>
          <w:smallCaps w:val="false"/>
          <w:sz w:val="20"/>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w:t>
      </w:r>
      <w:r>
        <w:rPr>
          <w:rFonts w:ascii="Times New Roman;Times;Serif" w:hAnsi="Times New Roman;Times;Serif"/>
          <w:b w:val="false"/>
          <w:i w:val="false"/>
          <w:caps w:val="false"/>
          <w:smallCaps w:val="false"/>
          <w:sz w:val="20"/>
          <w:u w:val="single"/>
        </w:rPr>
        <w:t>Foreign Corrupt Practices Act</w:t>
      </w:r>
      <w:r>
        <w:rPr>
          <w:rFonts w:ascii="Times New Roman;Times;Serif" w:hAnsi="Times New Roman;Times;Serif"/>
          <w:b w:val="false"/>
          <w:i w:val="false"/>
          <w:caps w:val="false"/>
          <w:smallCaps w:val="false"/>
          <w:sz w:val="20"/>
        </w:rPr>
        <w:t>. The operations of the Company and each of its subsidiaries are, and have been since the date that is five (5) years prior to the date hereof, in compliance with the Foreign Corrupt Practices Act of 1977, as amended (the “</w:t>
      </w:r>
      <w:r>
        <w:rPr>
          <w:rFonts w:ascii="Times New Roman;Times;Serif" w:hAnsi="Times New Roman;Times;Serif"/>
          <w:b/>
          <w:i w:val="false"/>
          <w:caps w:val="false"/>
          <w:smallCaps w:val="false"/>
          <w:sz w:val="20"/>
        </w:rPr>
        <w:t>FCPA</w:t>
      </w:r>
      <w:r>
        <w:rPr>
          <w:rFonts w:ascii="Times New Roman;Times;Serif" w:hAnsi="Times New Roman;Times;Serif"/>
          <w:b w:val="false"/>
          <w:i w:val="false"/>
          <w:caps w:val="false"/>
          <w:smallCaps w:val="false"/>
          <w:sz w:val="20"/>
        </w:rPr>
        <w:t>”) and all other laws of any jurisdiction applicable to the Company or its operations relating to domestic or foreign corruption or bribery (collectively, the “</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(i) Neither the Company nor any of its subsidiaries, its or their respective directors, officers or employees nor to the Company’s knowledge, any of their respective agents, affiliates, representatives or any other person acting for or on behalf of any of the foregoing has, in the past five years, (a) directly or indirectly made any unlawful contributions to any candidate for any political office (or failed fully to disclose any contribution in violation of applicable law) or made any contribution or other payment to any official of, or candidate for, any federal, state, municipal, or foreign office or other person charged with similar public or quasi-public duty in violation of any applicable law (including any applicable Anti-Corruption Law) or of the character required to be disclosed in the Registration Statement, the Time of Sale Disclosure Package or the Final Prospectus, (b) directly or indirectly, made, given, offered, authorized, promised, received, accepted, or agreed to receive any payment, money, commission, reward, gift, hospitality, entertainment, inducement (including any facilitation payments) or any other thing of value in violation of any applicable Anti-Corruption Laws; (c) taken any other action or omission in violation of any applicable Anti-Corruption Laws; or (d) paid, received, or retained any funds that are of a character required to be disclosed in the Registration Statement, the Time of Sale Disclosure Package or the Final Prospectus, (ii) no relationship, direct or indirect, exists between or among the Company or its subsidiaries or any affiliate of any of them, on the one hand, and the directors, officers and stockholders of the Company or its subsidiaries, on the other hand, that is required by the Securities Act to be described in the Registration Statement, the Time of Sale Disclosure Package or the Final Prospectus that is not so described, (iii) no relationship, direct or indirect, exists between or among the Company or any of its subsidiaries or any affiliate of them, on the one hand, and the directors, officers or stockholders of the Company or its subsidiaries, on the other hand, that is required by the rules of FINRA to be described in the Registration Statement, the Time of Sale Disclosure Package or the Final Prospectus that is not so described, (iv) the Company has not offered, or caused any placement agent to offer, Common Stock to any person with the intent to influence unlawfully (A) a customer or supplier of the Company or its subsidiaries to alter the customer’s or supplier’s level or type of business with the Company or its subsidiaries or (B) a trade journalist or publication to write or publish favorable information about the Company or its subsidiaries or any of their respective products or services, (v) neither the Company nor any of its subsidiaries shall, directly or indirectly, use the proceeds of the offering, or lend, contribute or otherwise make available such proceeds to any subsidiary, joint venture partner or other Person in any manner that will result in a violation of applicable Anti-Corruption Laws, (vi) no action, suit or proceeding by or before any court or governmental agency, authority or body or any arbitrator involving the Company or any of its subsidiaries with respect to applicable Anti-Corruption Laws is pending or, to the knowledge of the Company, threatened, and (vii) the Company and each of its subsidiaries have instituted and maintained policies and procedures designed to promote compliance with the applicable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(i) Neither the Company nor any of its subsidiaries (collectively, the “</w:t>
      </w:r>
      <w:r>
        <w:rPr>
          <w:rFonts w:ascii="Times New Roman;Times;Serif" w:hAnsi="Times New Roman;Times;Serif"/>
          <w:b/>
          <w:i w:val="false"/>
          <w:caps w:val="false"/>
          <w:smallCaps w:val="false"/>
          <w:sz w:val="20"/>
        </w:rPr>
        <w:t>Entity</w:t>
      </w:r>
      <w:r>
        <w:rPr>
          <w:rFonts w:ascii="Times New Roman;Times;Serif" w:hAnsi="Times New Roman;Times;Serif"/>
          <w:b w:val="false"/>
          <w:i w:val="false"/>
          <w:caps w:val="false"/>
          <w:smallCaps w:val="false"/>
          <w:sz w:val="20"/>
        </w:rPr>
        <w:t>”) nor any director, officer or employee of the Entity nor, to the Company’s knowledge, any agent, affiliate or representative of the Entity, is a government, individual, or entity (in this paragraph,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that is, or is owned or controlled by a Person that is: (a) the subject of any sanctions administered or enforced by the U.S. Department of the Treasury’s Office of Foreign Assets Control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the United Nations Security Council, the European Union, His Majesty’s Treasury, or other relevant sanctions authority (collectively,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nor (b) located, organized or resident in a country or territory that is the subject of Sanctions, (ii) the Entity will not, directly or indirectly, knowingly use the proceeds of the offering, or lend, contribute or otherwise make available such proceeds to any subsidiary, joint venture partner or other Person: (a) to fund or facilitate any activities or business of or with any Person that is the target of Sanctions or in any country or territory that, at the time of such funding or facilitation, is the subject of Sanctions, or (b) in any other manner that will result in a violation of Sanctions by any Person (including any Person participating in the offering, whether as underwriter, advisor, investor or otherwise), and (iii) the Entity represents and covenants that, except as detailed in the Registration Statement, the Time of Sale Disclosure Package and the Final Prospectus, since April 24, 2019, it has not knowingly engaged in and is not now knowingly engaged, and will not engage in, any dealing or transactions with any Person, or in any country or territory, that at the time of the dealing or transaction is or was the subject of Sanctions. As disclosed in the Registration Statement, the Time of Sale Disclosure Package and the Final Prospectus, the Company has obtained waivers from the U.S. Department of Energy relating to the Prohibiting Russian Uranium Imports Act, enacted in May 2024, allowing it to import low-enriched uranium from Russia into the United States. The Entity maintains in effect policies and procedures designed to promote compliance with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       </w:t>
      </w:r>
      <w:r>
        <w:rPr>
          <w:rFonts w:ascii="Times New Roman;Times;Serif" w:hAnsi="Times New Roman;Times;Serif"/>
          <w:b w:val="false"/>
          <w:i w:val="false"/>
          <w:caps w:val="false"/>
          <w:smallCaps w:val="false"/>
          <w:sz w:val="20"/>
          <w:u w:val="single"/>
        </w:rPr>
        <w:t>No Covered Foreign Person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Neither the Company nor any of its subsidiaries is a “covered foreign person,” as that term is defined in 31 C.F.R. § 850.209. The consummation of the transactions contemplated by this Agreement, the Warrant Agent Agreement, the Pre-Funded Warrants or the Common Warrants will not result in the establishment of a covered foreign person or the engagement by a “person of a country of concern,” as defined in 31 C.F.R. § 850.221, in a covered activity, as that term is defined in 31 C.F.R. § 850.208. Neither the Company nor any of its subsidiaries currently engage, or have plans to engage, directly or indirectly, in a covered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      </w:t>
      </w:r>
      <w:r>
        <w:rPr>
          <w:rFonts w:ascii="Times New Roman;Times;Serif" w:hAnsi="Times New Roman;Times;Serif"/>
          <w:b w:val="false"/>
          <w:i w:val="false"/>
          <w:caps w:val="false"/>
          <w:smallCaps w:val="false"/>
          <w:sz w:val="20"/>
          <w:u w:val="single"/>
        </w:rPr>
        <w:t>Lending Relationship</w:t>
      </w:r>
      <w:r>
        <w:rPr>
          <w:rFonts w:ascii="Times New Roman;Times;Serif" w:hAnsi="Times New Roman;Times;Serif"/>
          <w:b w:val="false"/>
          <w:i w:val="false"/>
          <w:caps w:val="false"/>
          <w:smallCaps w:val="false"/>
          <w:sz w:val="20"/>
        </w:rPr>
        <w:t>. Except as disclosed in the Registration Statement, the Time of Sale Disclosure Package and the Final Prospectus, the Company (i) does not have any material lending or other relationship with any bank or lending affiliate of any Underwriter and (ii) does not intend to use any of the proceeds from the sale of the Securities to repay any outstanding debt owed to any affiliate of any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(xxviii)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its subsidiaries carry, or are covered by, insurance in such amounts and covering such risks as the Company and its subsidiaries reasonably believe are adequate for the conduct of their business as currently conducted as described in the Registration Statement, the Time of Sale Disclosure Package and the Final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(xxix)       </w:t>
      </w:r>
      <w:r>
        <w:rPr>
          <w:rFonts w:ascii="Times New Roman;Times;Serif" w:hAnsi="Times New Roman;Times;Serif"/>
          <w:b w:val="false"/>
          <w:i w:val="false"/>
          <w:caps w:val="false"/>
          <w:smallCaps w:val="false"/>
          <w:sz w:val="20"/>
          <w:u w:val="single"/>
        </w:rPr>
        <w:t>No Undisclosed Relationships</w:t>
      </w:r>
      <w:r>
        <w:rPr>
          <w:rFonts w:ascii="Times New Roman;Times;Serif" w:hAnsi="Times New Roman;Times;Serif"/>
          <w:b w:val="false"/>
          <w:i w:val="false"/>
          <w:caps w:val="false"/>
          <w:smallCaps w:val="false"/>
          <w:sz w:val="20"/>
        </w:rPr>
        <w:t>. No relationship, direct or indirect, exists between or among the Company or any of its subsidiaries on the one hand, and the directors, officers, stockholders (or analogous interest holders), customers or suppliers of the Company or any of its subsidiaries on the other hand, which is required to be described in the Registration Statement, the Time of Sale Disclosure Package or the Final Prospectus and which is not so described.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        </w:t>
      </w:r>
      <w:r>
        <w:rPr>
          <w:rFonts w:ascii="Times New Roman;Times;Serif" w:hAnsi="Times New Roman;Times;Serif"/>
          <w:b w:val="false"/>
          <w:i w:val="false"/>
          <w:caps w:val="false"/>
          <w:smallCaps w:val="false"/>
          <w:sz w:val="20"/>
          <w:u w:val="single"/>
        </w:rPr>
        <w:t>No Reliance</w:t>
      </w:r>
      <w:r>
        <w:rPr>
          <w:rFonts w:ascii="Times New Roman;Times;Serif" w:hAnsi="Times New Roman;Times;Serif"/>
          <w:b w:val="false"/>
          <w:i w:val="false"/>
          <w:caps w:val="false"/>
          <w:smallCaps w:val="false"/>
          <w:sz w:val="20"/>
        </w:rPr>
        <w:t>. The Company has not relied upon the Underwriters or legal counsel for the Underwriters for any legal, tax or accounting advice in connection with the offering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       </w:t>
      </w:r>
      <w:r>
        <w:rPr>
          <w:rFonts w:ascii="Times New Roman;Times;Serif" w:hAnsi="Times New Roman;Times;Serif"/>
          <w:b w:val="false"/>
          <w:i w:val="false"/>
          <w:caps w:val="false"/>
          <w:smallCaps w:val="false"/>
          <w:sz w:val="20"/>
          <w:u w:val="single"/>
        </w:rPr>
        <w:t>No Finder’s Fee</w:t>
      </w:r>
      <w:r>
        <w:rPr>
          <w:rFonts w:ascii="Times New Roman;Times;Serif" w:hAnsi="Times New Roman;Times;Serif"/>
          <w:b w:val="false"/>
          <w:i w:val="false"/>
          <w:caps w:val="false"/>
          <w:smallCaps w:val="false"/>
          <w:sz w:val="20"/>
        </w:rPr>
        <w:t>. Neither the Company nor any of its subsidiaries has incurred any liability for any finder’s fees, brokerage commissions or similar payments in connection with the transactions herein contemplated, except as may otherwise exist with respect to the Underwriters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(xxxii)      </w:t>
      </w:r>
      <w:r>
        <w:rPr>
          <w:rFonts w:ascii="Times New Roman;Times;Serif" w:hAnsi="Times New Roman;Times;Serif"/>
          <w:b w:val="false"/>
          <w:i w:val="false"/>
          <w:caps w:val="false"/>
          <w:smallCaps w:val="false"/>
          <w:sz w:val="20"/>
          <w:u w:val="single"/>
        </w:rPr>
        <w:t>Certain Statements</w:t>
      </w:r>
      <w:r>
        <w:rPr>
          <w:rFonts w:ascii="Times New Roman;Times;Serif" w:hAnsi="Times New Roman;Times;Serif"/>
          <w:b w:val="false"/>
          <w:i w:val="false"/>
          <w:caps w:val="false"/>
          <w:smallCaps w:val="false"/>
          <w:sz w:val="20"/>
        </w:rPr>
        <w:t>. The statements set forth in the Registration Statement, the Time of Sale Disclosure Package and the Final Prospectus under the captions “Description of Capital Stock” and “Description of Securities We Are Offering” insofar as they purport to constitute a summary of (i) the terms of the Company’s outstanding securities, (ii) the terms of the Securities, and (iii) the terms of the documents referred to therein, are accurate, complete and fair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(xxxiii)     </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(i)(x) To the knowledge of the Company, there has been no material security breach or other compromise of the Company’s information technology and computer systems, networks, hardware, software, data (including the data of its customers, employees, suppliers, vendors and any third party data maintained by or on behalf of it), equipment or technology used in the Company’s business (collectively, “</w:t>
      </w:r>
      <w:r>
        <w:rPr>
          <w:rFonts w:ascii="Times New Roman;Times;Serif" w:hAnsi="Times New Roman;Times;Serif"/>
          <w:b/>
          <w:i w:val="false"/>
          <w:caps w:val="false"/>
          <w:smallCaps w:val="false"/>
          <w:sz w:val="20"/>
        </w:rPr>
        <w:t>IT Systems and Data</w:t>
      </w:r>
      <w:r>
        <w:rPr>
          <w:rFonts w:ascii="Times New Roman;Times;Serif" w:hAnsi="Times New Roman;Times;Serif"/>
          <w:b w:val="false"/>
          <w:i w:val="false"/>
          <w:caps w:val="false"/>
          <w:smallCaps w:val="false"/>
          <w:sz w:val="20"/>
        </w:rPr>
        <w:t>”) and (y) the Company has not been notified of, and has no knowledge of any event or condition that would reasonably be expected to result in, any material security breach or other material compromise to its IT Systems and Data; and (ii) the Company is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(each a “</w:t>
      </w:r>
      <w:r>
        <w:rPr>
          <w:rFonts w:ascii="Times New Roman;Times;Serif" w:hAnsi="Times New Roman;Times;Serif"/>
          <w:b/>
          <w:i w:val="false"/>
          <w:caps w:val="false"/>
          <w:smallCaps w:val="false"/>
          <w:sz w:val="20"/>
        </w:rPr>
        <w:t xml:space="preserve">Data </w:t>
      </w:r>
      <w:r>
        <w:rPr>
          <w:rFonts w:ascii="Times New Roman;Times;Serif" w:hAnsi="Times New Roman;Times;Serif"/>
          <w:b/>
          <w:i w:val="false"/>
          <w:caps w:val="false"/>
          <w:smallCaps w:val="false"/>
          <w:sz w:val="20"/>
          <w:u w:val="single"/>
        </w:rPr>
        <w:t>Protection Requirement</w:t>
      </w:r>
      <w:r>
        <w:rPr>
          <w:rFonts w:ascii="Times New Roman;Times;Serif" w:hAnsi="Times New Roman;Times;Serif"/>
          <w:b w:val="false"/>
          <w:i w:val="false"/>
          <w:caps w:val="false"/>
          <w:smallCaps w:val="false"/>
          <w:sz w:val="20"/>
        </w:rPr>
        <w:t>”), except as would not, in the case of this clause (ii),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(xxxiv)     </w:t>
      </w:r>
      <w:r>
        <w:rPr>
          <w:rFonts w:ascii="Times New Roman;Times;Serif" w:hAnsi="Times New Roman;Times;Serif"/>
          <w:b w:val="false"/>
          <w:i w:val="false"/>
          <w:caps w:val="false"/>
          <w:smallCaps w:val="false"/>
          <w:sz w:val="20"/>
          <w:u w:val="single"/>
        </w:rPr>
        <w:t>Privacy.</w:t>
      </w:r>
      <w:r>
        <w:rPr>
          <w:rFonts w:ascii="Times New Roman;Times;Serif" w:hAnsi="Times New Roman;Times;Serif"/>
          <w:b w:val="false"/>
          <w:i w:val="false"/>
          <w:caps w:val="false"/>
          <w:smallCaps w:val="false"/>
          <w:sz w:val="20"/>
        </w:rPr>
        <w:t xml:space="preserve"> The Company and its subsidiaries have in place, comply with, and take commercially reasonable steps designed to ensure compliance with all third-party obligations regarding any personal, personally identifiable, household, sensitive, confidential or regulated data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(collectively, the “</w:t>
      </w:r>
      <w:r>
        <w:rPr>
          <w:rFonts w:ascii="Times New Roman;Times;Serif" w:hAnsi="Times New Roman;Times;Serif"/>
          <w:b/>
          <w:i w:val="false"/>
          <w:caps w:val="false"/>
          <w:smallCaps w:val="false"/>
          <w:sz w:val="20"/>
        </w:rPr>
        <w:t>Policies</w:t>
      </w:r>
      <w:r>
        <w:rPr>
          <w:rFonts w:ascii="Times New Roman;Times;Serif" w:hAnsi="Times New Roman;Times;Serif"/>
          <w:b w:val="false"/>
          <w:i w:val="false"/>
          <w:caps w:val="false"/>
          <w:smallCaps w:val="false"/>
          <w:sz w:val="20"/>
        </w:rPr>
        <w:t>”). To the knowledge of the Company, the execution, delivery and performance of this Agreement or any other agreement referred to in this Agreement will not result in a material breach or violation of any privacy laws or Policies. Neither the Company nor any subsidiary has received written notice of any actual or potential liability under or relating to, or actual or potential violation of, any Data Protection Requirement and is unaware of any other facts that, individually or in the aggregate, would reasonably indicate non-compliance with any privacy laws or Policies, except as would not, individually or in the aggregate, have a Material Adverse Effect. There is no action, suit or proceeding by or before any court or governmental agency, authority or body pending or, to the Company’s knowledge threatened, alleging non-compliance with privacy laws or Policies, except as would not,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      </w:t>
      </w:r>
      <w:r>
        <w:rPr>
          <w:rFonts w:ascii="Times New Roman;Times;Serif" w:hAnsi="Times New Roman;Times;Serif"/>
          <w:b w:val="false"/>
          <w:i w:val="false"/>
          <w:caps w:val="false"/>
          <w:smallCaps w:val="false"/>
          <w:sz w:val="20"/>
          <w:u w:val="single"/>
        </w:rPr>
        <w:t>Compliance with Government Contracts</w:t>
      </w:r>
      <w:r>
        <w:rPr>
          <w:rFonts w:ascii="Times New Roman;Times;Serif" w:hAnsi="Times New Roman;Times;Serif"/>
          <w:b w:val="false"/>
          <w:i w:val="false"/>
          <w:caps w:val="false"/>
          <w:smallCaps w:val="false"/>
          <w:sz w:val="20"/>
        </w:rPr>
        <w:t>. Since the date that is six years prior to the date of this Agreement, neither the Company nor any of its subsidiaries has (i) breached or violated in any material respect any contract between the Company or any of its subsidiaries, on the one hand, and either (a) a government agency or (b) a prime contractor or higher-tiered subcontractor of a government agency in its capacity as a prime contractor or higher-tiered subcontractor, on the other hand (a “</w:t>
      </w:r>
      <w:r>
        <w:rPr>
          <w:rFonts w:ascii="Times New Roman;Times;Serif" w:hAnsi="Times New Roman;Times;Serif"/>
          <w:b/>
          <w:i w:val="false"/>
          <w:caps w:val="false"/>
          <w:smallCaps w:val="false"/>
          <w:sz w:val="20"/>
        </w:rPr>
        <w:t>Government Contract</w:t>
      </w:r>
      <w:r>
        <w:rPr>
          <w:rFonts w:ascii="Times New Roman;Times;Serif" w:hAnsi="Times New Roman;Times;Serif"/>
          <w:b w:val="false"/>
          <w:i w:val="false"/>
          <w:caps w:val="false"/>
          <w:smallCaps w:val="false"/>
          <w:sz w:val="20"/>
        </w:rPr>
        <w:t>”) or any laws applicable to Government Contracts; (ii) been audited, with the exception of routine audits, or investigated by any government agency with respect to any Government Contract; (iii) conducted or initiated any internal investigation or made any disclosure with respect to any alleged or potential material irregularity, misstatement or omission arising under or relating to a Government Contract; (iv) received from any government agency or any other person any written notice of breach, cure, show cause or default or any subpoena with respect to any Government Contract; (v) had any Government Contract terminated for cause or default; (vi) received written notice from or on behalf of any government agency or any other person indicating that such government agency or person intends to cancel or terminate any Government Contract, except as would not,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(xxxvi)     </w:t>
      </w:r>
      <w:r>
        <w:rPr>
          <w:rFonts w:ascii="Times New Roman;Times;Serif" w:hAnsi="Times New Roman;Times;Serif"/>
          <w:b w:val="false"/>
          <w:i w:val="false"/>
          <w:caps w:val="false"/>
          <w:smallCaps w:val="false"/>
          <w:sz w:val="20"/>
          <w:u w:val="single"/>
        </w:rPr>
        <w:t>Government Procurement</w:t>
      </w:r>
      <w:r>
        <w:rPr>
          <w:rFonts w:ascii="Times New Roman;Times;Serif" w:hAnsi="Times New Roman;Times;Serif"/>
          <w:b w:val="false"/>
          <w:i w:val="false"/>
          <w:caps w:val="false"/>
          <w:smallCaps w:val="false"/>
          <w:sz w:val="20"/>
        </w:rPr>
        <w:t>. Neither the Company nor any of its subsidiaries, nor any of their respective principals (as defined at 48 C.F.R. § 2.101), is suspended, debarred, proposed for debarment or otherwise excluded from participating in any federal, state or local government procurement or non-procurement programs and, to the knowledge of the Company, no circumstances exist that would reasonably be expected to lead to the institution of suspension or debarment proceedings against the Company, any of its subsidiaries, or any of their respective principals.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(xxxvii)    </w:t>
      </w:r>
      <w:r>
        <w:rPr>
          <w:rFonts w:ascii="Times New Roman;Times;Serif" w:hAnsi="Times New Roman;Times;Serif"/>
          <w:b w:val="false"/>
          <w:i w:val="false"/>
          <w:caps w:val="false"/>
          <w:smallCaps w:val="false"/>
          <w:sz w:val="20"/>
          <w:u w:val="single"/>
        </w:rPr>
        <w:t>Government Contract Representations</w:t>
      </w:r>
      <w:r>
        <w:rPr>
          <w:rFonts w:ascii="Times New Roman;Times;Serif" w:hAnsi="Times New Roman;Times;Serif"/>
          <w:b w:val="false"/>
          <w:i w:val="false"/>
          <w:caps w:val="false"/>
          <w:smallCaps w:val="false"/>
          <w:sz w:val="20"/>
        </w:rPr>
        <w:t>. With respect to each Government Contract and any bid, proposal, offer or quotation, whether solicited or unsolicited, made by the Company or any of its subsidiaries that, if accepted, would reasonably be expected to lead to the award of a Government Contract (a “</w:t>
      </w:r>
      <w:r>
        <w:rPr>
          <w:rFonts w:ascii="Times New Roman;Times;Serif" w:hAnsi="Times New Roman;Times;Serif"/>
          <w:b/>
          <w:i w:val="false"/>
          <w:caps w:val="false"/>
          <w:smallCaps w:val="false"/>
          <w:sz w:val="20"/>
        </w:rPr>
        <w:t>Government Bid</w:t>
      </w:r>
      <w:r>
        <w:rPr>
          <w:rFonts w:ascii="Times New Roman;Times;Serif" w:hAnsi="Times New Roman;Times;Serif"/>
          <w:b w:val="false"/>
          <w:i w:val="false"/>
          <w:caps w:val="false"/>
          <w:smallCaps w:val="false"/>
          <w:sz w:val="20"/>
        </w:rPr>
        <w:t>”), since the date that is six years prior to the date of this Agreement, all representations, certifications and disclosures made by the Company and any of its subsidiaries were complete and accurate in all material respects as of their effective date, and the Company and each of its subsidiaries has complied in all material respects with all such representations, certifications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(xxxviii)   </w:t>
      </w:r>
      <w:r>
        <w:rPr>
          <w:rFonts w:ascii="Times New Roman;Times;Serif" w:hAnsi="Times New Roman;Times;Serif"/>
          <w:b w:val="false"/>
          <w:i w:val="false"/>
          <w:caps w:val="false"/>
          <w:smallCaps w:val="false"/>
          <w:sz w:val="20"/>
          <w:u w:val="single"/>
        </w:rPr>
        <w:t>Conflict of Interest</w:t>
      </w:r>
      <w:r>
        <w:rPr>
          <w:rFonts w:ascii="Times New Roman;Times;Serif" w:hAnsi="Times New Roman;Times;Serif"/>
          <w:b w:val="false"/>
          <w:i w:val="false"/>
          <w:caps w:val="false"/>
          <w:smallCaps w:val="false"/>
          <w:sz w:val="20"/>
        </w:rPr>
        <w:t>. As of the date of this Agreement, no facts exist that the Company believes are likely to result in a finding of an actual or potential organizational conflict of interest would prevent the Company or any of its subsidiaries from fully performing any existing Government Contract or from being awarded a Government Contract as a result of any pending Government Bid.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(xxxix)      </w:t>
      </w:r>
      <w:r>
        <w:rPr>
          <w:rFonts w:ascii="Times New Roman;Times;Serif" w:hAnsi="Times New Roman;Times;Serif"/>
          <w:b w:val="false"/>
          <w:i w:val="false"/>
          <w:caps w:val="false"/>
          <w:smallCaps w:val="false"/>
          <w:sz w:val="20"/>
          <w:u w:val="single"/>
        </w:rPr>
        <w:t>Compliance Controls</w:t>
      </w:r>
      <w:r>
        <w:rPr>
          <w:rFonts w:ascii="Times New Roman;Times;Serif" w:hAnsi="Times New Roman;Times;Serif"/>
          <w:b w:val="false"/>
          <w:i w:val="false"/>
          <w:caps w:val="false"/>
          <w:smallCaps w:val="false"/>
          <w:sz w:val="20"/>
        </w:rPr>
        <w:t>. Each of the Company and its subsidiaries has established and maintained in all material respects adequate policies, procedures, systems and controls for compliance with its respective Government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           </w:t>
      </w:r>
      <w:r>
        <w:rPr>
          <w:rFonts w:ascii="Times New Roman;Times;Serif" w:hAnsi="Times New Roman;Times;Serif"/>
          <w:b w:val="false"/>
          <w:i w:val="false"/>
          <w:caps w:val="false"/>
          <w:smallCaps w:val="false"/>
          <w:sz w:val="20"/>
          <w:u w:val="single"/>
        </w:rPr>
        <w:t>Government Contract Disputes</w:t>
      </w:r>
      <w:r>
        <w:rPr>
          <w:rFonts w:ascii="Times New Roman;Times;Serif" w:hAnsi="Times New Roman;Times;Serif"/>
          <w:b w:val="false"/>
          <w:i w:val="false"/>
          <w:caps w:val="false"/>
          <w:smallCaps w:val="false"/>
          <w:sz w:val="20"/>
        </w:rPr>
        <w:t>. There are no outstanding, anticipated, or contemplated material claims or disputes in connection with any Government Contract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(xli)          </w:t>
      </w:r>
      <w:r>
        <w:rPr>
          <w:rFonts w:ascii="Times New Roman;Times;Serif" w:hAnsi="Times New Roman;Times;Serif"/>
          <w:b w:val="false"/>
          <w:i w:val="false"/>
          <w:caps w:val="false"/>
          <w:smallCaps w:val="false"/>
          <w:sz w:val="20"/>
          <w:u w:val="single"/>
        </w:rPr>
        <w:t>Allegations of Fraud</w:t>
      </w:r>
      <w:r>
        <w:rPr>
          <w:rFonts w:ascii="Times New Roman;Times;Serif" w:hAnsi="Times New Roman;Times;Serif"/>
          <w:b w:val="false"/>
          <w:i w:val="false"/>
          <w:caps w:val="false"/>
          <w:smallCaps w:val="false"/>
          <w:sz w:val="20"/>
        </w:rPr>
        <w:t>. To the knowledge of the Company, there are no outstanding or unsettled allegations of fraud, false claims or overpayments nor any investigations or audits, with the exception of routine audits, by any governmental agency with regard to any Government Contract of the Company or any of its subsidiaries, nor has the Company or any of its subsidiaries taken any action that would reasonably be expected to give rise to liability for fraud, false claims or overpayments.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(xlii)         </w:t>
      </w:r>
      <w:r>
        <w:rPr>
          <w:rFonts w:ascii="Times New Roman;Times;Serif" w:hAnsi="Times New Roman;Times;Serif"/>
          <w:b w:val="false"/>
          <w:i w:val="false"/>
          <w:caps w:val="false"/>
          <w:smallCaps w:val="false"/>
          <w:sz w:val="20"/>
          <w:u w:val="single"/>
        </w:rPr>
        <w:t>Losses Under Government Contracts</w:t>
      </w:r>
      <w:r>
        <w:rPr>
          <w:rFonts w:ascii="Times New Roman;Times;Serif" w:hAnsi="Times New Roman;Times;Serif"/>
          <w:b w:val="false"/>
          <w:i w:val="false"/>
          <w:caps w:val="false"/>
          <w:smallCaps w:val="false"/>
          <w:sz w:val="20"/>
        </w:rPr>
        <w:t>. No Government Contract of the Company or any of its subsidiaries has as of the date of this Agreement incurred or projects to incur material losses or unreimbursed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certificate signed by any officer of the Company and delivered to the Representative on behalf of the Underwriters or to counsel for the Underwriters shall be deemed a representation and warranty by the Company to the Underwriters as to the matters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w:t>
        <w:tab/>
        <w:t>       </w:t>
      </w:r>
      <w:r>
        <w:rPr>
          <w:rFonts w:ascii="Times New Roman;Times;Serif" w:hAnsi="Times New Roman;Times;Serif"/>
          <w:b w:val="false"/>
          <w:i w:val="false"/>
          <w:caps w:val="false"/>
          <w:smallCaps w:val="false"/>
          <w:sz w:val="20"/>
          <w:u w:val="single"/>
        </w:rPr>
        <w:t>Purchase, Sale and Delivery of the Shares and the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at a price of $195.6472 per Share (the “</w:t>
      </w:r>
      <w:r>
        <w:rPr>
          <w:rFonts w:ascii="Times New Roman;Times;Serif" w:hAnsi="Times New Roman;Times;Serif"/>
          <w:b/>
          <w:i w:val="false"/>
          <w:caps w:val="false"/>
          <w:smallCaps w:val="false"/>
          <w:sz w:val="20"/>
        </w:rPr>
        <w:t>Share Purchase Price</w:t>
      </w:r>
      <w:r>
        <w:rPr>
          <w:rFonts w:ascii="Times New Roman;Times;Serif" w:hAnsi="Times New Roman;Times;Serif"/>
          <w:b w:val="false"/>
          <w:i w:val="false"/>
          <w:caps w:val="false"/>
          <w:smallCaps w:val="false"/>
          <w:sz w:val="20"/>
        </w:rPr>
        <w:t xml:space="preserve">”), $195.5492 per Pre-Funded Warrant and no additional consideration for the Common Warrants, from the Company the respective number of Shares, Pre-Funded Warrants and Common Warrants set forth opposite such Underwriter’s name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subject to adjustment in accordance with Section 10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Payment of the purchase price for, and delivery of certificates or book entry statements for, the Securities shall be made at the offices of Guggenheim Securities, LLC, 330 Madison Avenue, New York, NY 10017, at 10:00 a.m., New York City time, on the first (second, if pricing occurs after 4:30 p.m., New York City time, on any given day) business day following the date of this Agreement or at such time on such other date, not later than ten (10) business days after the date of this Agreement, as shall be agreed upon by the Company and the Representative (such time and date of delivery and payment are called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subject to subsection (c)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Payment shall be made to the Company by wire transfer of immediately available funds, against delivery of the respective certificates or book entry statements to the Representative for the respective accounts of the Underwriters of certificates or book entry statements for the Shares, Pre-Funded Warrants and Common Warrants to be purchased by them. Notwithstanding the foregoing, the Representative may elect to instruct purchasers of the Shares, the Pre-Funded Warrants and Common Warrants in the offering to make payment for the Shares, the Pre-Funded Warrants and Common Warrants on the Closing Date to the Company by wire transfer in immediately available funds to the account specified by the Company, at a purchase price of $199.64 per Share, $199.54 per Pre-Funded Warrant and no additional consideration for the Common Warrants, as applicable, in lieu of payment by the Underwriters for such Shares, Pre-Funded Warrants and Common Warrants. The Company shall deliver (i) the Shares to such purchasers on the Closing Date in book-entry form through the facilities of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xml:space="preserve">”) against such payment and (ii) the Pre-Funded Warrants and Common Warrants to such purchasers on the Closing Date in definitive form against such payment, in each case, in lieu of the Company’s obligation to deliver the Shares, Pre-Funded Warrants and Common Warrants to the Underwriters;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remit to the Representative, on behalf of the Underwriters, on the Closing Date an underwriting commission equal to $3.9928 per Share and $3.9908 per Pre-Funded Warrant with respect to such Shares and such Pre-Funded Warrants, respectively, it being understood that no underwriting commissions shall be payable in respect of the Common Warrants on the Closing Date and the Underwriters instead shall be entitled to a Solicitation Fee if and when such Common Warrants are exercised pursuant to Section 5(a)(xviii) below. The Underwriters shall be deemed to have satisfied their respective purchase obligations with respect to the Securities upon the Company’s receipt of payment from the applicable purchasers and delivery of the applicable Securities to such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Shares shall be registered in such names and shall be in such denominations as the Representative shall instruct such purchasers to request at least one full business day before the Closing Date and shall be delivered by or on behalf of the Company to each purchaser through the facilities of DTC for the account of such purchaser. The Company will cause the certificates or book entry statements representing the Shares and the Warrants to be made available for checking and packaging, at such place as is designated by the Representative, on the full business day before the Closing Date. The Warrants shall be delivered to each purchaser in definitive form, registered in such names and in such denominations as the Representative shall instruct such purchaser to request in writing not later than the Closing Date. The Warrants will be made available for inspection by the Representative on the business day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w:t>
        <w:tab/>
        <w:t>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covenants and agrees with the Underwriters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prepare the Final Prospectus in a form approved by the Representative and file such Final Prospectus pursuant to Rule 424(b) under the Securities Act not later than the Commission’s close of business on the second business day following the execution and delivery of this Agreement, or, if applicable, such earlier time as may be required by the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During the period beginning on the date hereof and ending on the later of the Closing Date or such date as determined by the Representative on which the Final Prospectus is no longer required by law to be delivered in connection with sales by an underwriter or dealer (the “</w:t>
      </w:r>
      <w:r>
        <w:rPr>
          <w:rFonts w:ascii="Times New Roman;Times;Serif" w:hAnsi="Times New Roman;Times;Serif"/>
          <w:b/>
          <w:i w:val="false"/>
          <w:caps w:val="false"/>
          <w:smallCaps w:val="false"/>
          <w:sz w:val="20"/>
        </w:rPr>
        <w:t>Prospectus Delivery Period</w:t>
      </w:r>
      <w:r>
        <w:rPr>
          <w:rFonts w:ascii="Times New Roman;Times;Serif" w:hAnsi="Times New Roman;Times;Serif"/>
          <w:b w:val="false"/>
          <w:i w:val="false"/>
          <w:caps w:val="false"/>
          <w:smallCaps w:val="false"/>
          <w:sz w:val="20"/>
        </w:rPr>
        <w:t>”), prior to amending or supplementing the Registration Statement, including any Rule 462 Registration Statement, the Time of Sale Disclosure Package or the Final Prospectus, the Company shall furnish to the Representative for review and comment a copy of each such proposed amendment or supplement, and the Company shall not file any such proposed amendment or supplement to which the Representative reasonably objects.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From the date of this Agreement until the end of the Prospectus Delivery Period, the Company shall promptly advise the Representative in writing of the receipt of any comments of, or requests for additional or supplemental information from, the Commission, of the time and date of any filing of any post-effective amendment to the Registration Statement or any amendment or supplement to the Time of Sale Disclosure Package, the Final Prospectus or any Issuer Free Writing Prospectus, of the time and date that any post-effective amendment to the Registration Statement becomes effective and of the issuance by the Commission of any stop order suspending the effectiveness of the Registration Statement or of any order preventing or suspending its use or the use of the Time of Sale Disclosure Package, the Final Prospectus or any Issuer Free Writing Prospectus, or of any proceedings to remove, suspend or terminate from listing or quotation the Common Stock from any securities exchange upon which it is listed for trading or included or designated for quotation, or of the threatening or initiation of any proceedings for any of such purposes. If the Commission shall enter any such stop order at any time during the Prospectus Delivery Period, the Company will use its reasonable efforts to obtain the lifting of such order at the earliest possible moment. Additionally, the Company agrees that it shall comply with the provisions of Rules 424(b), 430A, 430B or 430C as applicable, under the Securities Act and will use its reasonable efforts to confirm that any filings made by the Company under Rule 424(b) or Rule 433 were received in a timely manner by the Commission (without reliance on Rule 424(b)(8) or 164(b)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During the Prospectus Delivery Period, the Company will comply with all requirements imposed upon it by the Securities Act, as now and hereafter amended, and by the Rules and Regulations, as from time to time in force, and by the Exchange Act, as now and hereafter amended, so far as necessary to permit the continuance of sales of or dealings in the Securities as contemplated by the provisions hereof, the Time of Sale Disclosure Package, the Registration Statement and the Final Prospectus. If during the Prospectus Delivery Period any event occurs the result of which would cause the Final Prospectus (or if the Final Prospectus is not yet available to prospective purchasers, the Time of Sale Disclosure Package) to include an untrue statement of a material fact or omit to state a material fact necessary to make the statements therein, in the light of the circumstances then existing, not misleading, or if during such period it is necessary or appropriate in the opinion of the Company or its counsel or the Representative or counsel to the Underwriters to amend the Registration Statement or supplement the Final Prospectus (or if the Final Prospectus is not yet available to prospective purchasers, the Time of Sale Disclosure Package) to comply with the Securities Act, or to file under the Exchange Act any document that would be deemed to be incorporated by reference in the Final Prospectus in order to comply with the Securities Act or the Exchange Act, the Company will promptly notify the Representative, allow the Representative the opportunity to provide reasonable comments on such amendment, prospectus supplement or document, and will amend the Registration Statement or supplement the Final Prospectus (or if the Final Prospectus is not yet available to prospective purchasers, the Time of Sale Disclosure Package) or file such document (at the expense of the Company) so as to correct such statement or omission or effect such compliance. (B) If at any time during the Prospectus Delivery Period there occurred or occurs an event or development the result of which such Issuer Free Writing Prospectus conflicted or would conflict with the information contained in the Registration Statement or any Prospectus or included or would include, when taken together with the Time of Sale Disclosure Package, an untrue statement of a material fact or omitted or would omit to state a material fact necessary in order to make the statements therein, in the light of the circumstances prevailing at that subsequent time, not misleading, the Company will promptly notify the Representative and will promptly amend or supplement, at its own expense, such Issuer Free Writing Prospectus to eliminate or correct such conflict, untrue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shall take or cause to be taken all action reasonably necessary to qualify the Securities for sale under the securities laws of such jurisdictions as the Representative reasonably designates and to continue such qualifications in effect so long as required for the distribution of the Securities, except that the Company shall not be required in connection therewith to qualify as a foreign corporation or as a dealer in securities in any jurisdiction in which it is not so qualified, to execute a general consent to service of process in any state or to subject itself to taxation in respect of doing business in any jurisdiction in which it is not otherwise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will furnish to the Representative and counsel to the Underwriters copies of the Registration Statement, each Prospectus, any Issuer Free Writing Prospectus and all amendments and supplements to such documents, in each case as soon as available and in such quantities as the Representative may from time to time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Company will make generally available to its security holders as soon as practicable, but in any event not later than 15 months after the end of the Company’s current fiscal quarter, an earnings statement (which need not be audited) covering a 12-month period that shall satisfy the provisions of Section 11(a) of the Securities Act and Rule 158 of the Rules and Regulations; provided that the Company will be deemed to have furnished such statements to its security holders and the Representative to the extent they are filed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Company, whether or not the transactions contemplated hereunder are consummated or this Agreement is terminated, will pay or cause to be paid all expenses (including transfer taxes allocated to the respective transferees) incurred in connection with the delivery to the Underwriters of the Securities (including all fees and expenses of the registrar and transfer agent of the Shares (if other than the Company), and the cost of preparing and printing stock certificates), all expenses and fees (including, without limitation, fees and expenses of the Company’s counsel) in connection with the preparation, printing, filing, delivery and shipping of the Registration Statement (including the financial statements therein and all amendments, schedules and exhibits thereto), the Shares, the Pre-Funded Warrants, the Common Warrants, the Time of Sale Disclosure Package, any Prospectus, the Final Prospectus, any Issuer Free Writing Prospectus and any amendment thereof or supplement thereto, all reasonable filing fees and reasonable fees and disbursements of the Underwriters’ counsel incurred in connection with the qualification of the Securities for offering and sale by the Underwriters or by dealers under the securities or blue sky laws of the states and other jurisdictions that the Representative shall designate, the reasonable filing fees and reasonable fees and disbursements of counsel to the Underwriters incident to any required review and approval by FINRA, of the terms of the sale of the Securities, all expenses and application fees related to the listing of the Shares and the Warrant Shares on the NYSE, and all other costs and expenses incident to the performance of its obligations hereunder that are not otherwise specifically provided for herein. The Company will reimburse the Representative for the Underwriters’ reasonable and documented out-of-pocket expenses, including legal fees and disbursements, in connection with the purchase and sale of the Securities contemplated hereby. If this Agreement is terminated by the Representative in accordance with the provisions of ‎Section 9, the Company will reimburse the Underwriters for all reasonable and documented out-of-pocket disbursements (including, but not limited to, reasonable fees and disbursements of counsel, travel expenses, postage, facsimile and telephone charges) incurred by the Underwriters in connection with their investigation, preparing to market and marketing the Securities or in contemplation of performing its obligations hereunder. Notwithstanding anything to the contrary, if this Agreement is terminated pursuant to ‎Section 10 by reason of the default of one or more Underwriters, the Company shall not be obligated to reimburse any Underwriter on account of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Company intends to apply the net proceeds from the sale of the Securities to be sold by it hereunder for the purposes set forth in the Registration Statement, the Time of Sale Disclosure Package and the Final Prospectus under the heading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Company represents and agrees that, unless it obtains the prior written consent of the Representative, and each Underwriter, severally, and not jointly, represents and agrees that, unless it obtains the prior written consent of the Company, it has not made and will not make any offer relating to the Securities that would constitute an Issuer Free Writing Prospectus; provided that the prior written consent of the parties hereto shall be deemed to have been given in respect of the free writing prospectuses included in ‎</w:t>
      </w:r>
      <w:r>
        <w:rPr>
          <w:rFonts w:ascii="Times New Roman;Times;Serif" w:hAnsi="Times New Roman;Times;Serif"/>
          <w:b w:val="false"/>
          <w:i w:val="false"/>
          <w:caps w:val="false"/>
          <w:smallCaps w:val="false"/>
          <w:sz w:val="20"/>
          <w:u w:val="single"/>
        </w:rPr>
        <w:t>Schedule III</w:t>
      </w:r>
      <w:r>
        <w:rPr>
          <w:rFonts w:ascii="Times New Roman;Times;Serif" w:hAnsi="Times New Roman;Times;Serif"/>
          <w:b w:val="false"/>
          <w:i w:val="false"/>
          <w:caps w:val="false"/>
          <w:smallCaps w:val="false"/>
          <w:sz w:val="20"/>
        </w:rPr>
        <w:t>. Any such free writing prospectus consented to by the Company and the Representative is hereinafter referred to as a “</w:t>
      </w:r>
      <w:r>
        <w:rPr>
          <w:rFonts w:ascii="Times New Roman;Times;Serif" w:hAnsi="Times New Roman;Times;Serif"/>
          <w:b/>
          <w:i w:val="false"/>
          <w:caps w:val="false"/>
          <w:smallCaps w:val="false"/>
          <w:sz w:val="20"/>
        </w:rPr>
        <w:t>Permitted Free Writing Prospectus</w:t>
      </w:r>
      <w:r>
        <w:rPr>
          <w:rFonts w:ascii="Times New Roman;Times;Serif" w:hAnsi="Times New Roman;Times;Serif"/>
          <w:b w:val="false"/>
          <w:i w:val="false"/>
          <w:caps w:val="false"/>
          <w:smallCaps w:val="false"/>
          <w:sz w:val="20"/>
        </w:rPr>
        <w:t>.” The Company represents that it has treated or agrees that it will treat each Permitted Free Writing Prospectus as an “issuer free writing prospectus,” as defined in Rule 433, and has complied or will comply with the requirements of Rule 433 applicable to any Permitted Free Writing Prospectus, including timely Commission filing where required, legending and record-keeping.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Company hereby agrees that, without the prior written consent of the Representative, it will not, during the period ending sixty (60) days after the date hereof (“</w:t>
      </w:r>
      <w:r>
        <w:rPr>
          <w:rFonts w:ascii="Times New Roman;Times;Serif" w:hAnsi="Times New Roman;Times;Serif"/>
          <w:b/>
          <w:i w:val="false"/>
          <w:caps w:val="false"/>
          <w:smallCaps w:val="false"/>
          <w:sz w:val="20"/>
        </w:rPr>
        <w:t>Lock-Up Period</w:t>
      </w:r>
      <w:r>
        <w:rPr>
          <w:rFonts w:ascii="Times New Roman;Times;Serif" w:hAnsi="Times New Roman;Times;Serif"/>
          <w:b w:val="false"/>
          <w:i w:val="false"/>
          <w:caps w:val="false"/>
          <w:smallCaps w:val="false"/>
          <w:sz w:val="20"/>
        </w:rPr>
        <w:t xml:space="preserve">”), (i) offer, pledge, issue, sell, contract to sell, or otherwise transfer or dispose of, directly or indirectly, any shares of Common Stock or any securities convertible into or exercisable or exchangeable for Common Stock; or (ii) enter into any swap or other arrangement that transfers to another, in whole or in part, any of the economic consequences of ownership of the Common Stock, whether any such transaction described in clause (i) or (ii) above is to be settled by delivery of Common Stock or such other securities, in cash or otherwise; or (iii) confidentially submit or file any registration statement with the Commission relating to the offering of any shares of Common Stock or any securities convertible into or exercisable or exchangeable for Common Stock. The restrictions contained in the preceding sentence shall not apply to the issuance of the Shares, the Warrants and the Warrant Shares as contemplated by this Agreement, the issuance of Common Stock upon the exercise of options or warrants or the conversion of outstanding preferred stock or other outstanding convertible securities disclosed as outstanding in the Registration Statement (excluding exhibits thereto), the Time of Sale Disclosure Package and the Final Prospectus, including the issuance of Common Stock upon conversion of the Company’s 2.25% Convertible Senior Notes due 2030 and 0.00% Convertible Senior Notes due 2032, the issuance of employee stock options and the grant of restricted stock awards or restricted stock units or shares of Common Stock pursuant to equity incentive plans described in the Registration Statement (excluding exhibits thereto), the Time of Sale Disclosure Package and the Final Prospectus,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clause ‎(3) shall not be available unless each recipient of shares of Common Stock, or securities exchangeable or exercisable for or convertible into Common Stock, pursuant to such equity incentive plan shall be contractually prohibited from selling, offering, disposing of or otherwise transferring any such shares or securities during the remainder of the Lock-Up Period, the adoption of a new equity incentive plan, the filing of a registration statement on Form S-8 under the Securities Act to register the offer and sale of securities to be issued pursuant to such new equity incentive plan, and the issuance of securities pursuant to such new equity incentive plan (including, without limitation, the issuance of shares of Common Stock upon the exercise of options or other securities issued pursuant to such new equity incentive plan),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such new equity incentive plan satisfies the transaction requirements of General Instruction A.1 of Form S-8 under the Securities Act and (b) this clause ‎(4) shall not be available unless each recipient of shares of Common Stock, or securities exchangeable or exercisable for or convertible into Common Stock, pursuant to such new equity incentive plan shall be contractually prohibited from selling, offering, disposing of or otherwise transferring any such shares or securities during the remainder of the Lock-Up Period, and entry into an agreement providing for the issuance of Common Stock or securities convertible into or exercisable for shares of Common Stock in connection with any exchange offer, restructuring or similar transaction, and the issuance of any such securities pursuant to any such agreement; provided, that the recipient of any such shares of Common Stock or securities issued pursuant to clause ‎(5) during the 60-day restricted period described above shall enter into an agreement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Company hereby agrees, during a period of three years from the Effective Date, so long as the Company is subject to the reporting requirements of Section 13 or 15(d) of the Exchange Act, to furnish to the Representative copies of all reports or other communications (financial or other) furnished to its stockholders, and to deliver to the Representative as soon as reasonably practicable upon availability, copies of any reports and financial statements furnished to or filed with the Commission or any national securities exchange on which any class of securities of the Company is listed; provided, that any information or documents available on EDGAR shall be considered furnished for purposes of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The Company hereby agrees to engage and maintain, at its expense, a registrar and transfer agent for the Common Stock (if other than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The Company will use its reasonable best efforts to list, subject to notice of issuance, the Shares and the Warrant Shares on the NYSE.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The Company shall, at all times while any Pre-Funded Warrants or Common Warrants are outstanding, reserve and keep available out of the aggregate of its authorized but unissued and otherwise unreserved Common Stock, solely for the purpose of enabling it to issue Warrant Shares upon exercise of such Pre-Funded Warrants or Common Warrants, the number of Warrant Shares that are issuable and deliverable upon the exercise of the then outstanding Pre-Funded Warrants or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If immediately prior to the third anniversary (the “</w:t>
      </w:r>
      <w:r>
        <w:rPr>
          <w:rFonts w:ascii="Times New Roman;Times;Serif" w:hAnsi="Times New Roman;Times;Serif"/>
          <w:b/>
          <w:i w:val="false"/>
          <w:caps w:val="false"/>
          <w:smallCaps w:val="false"/>
          <w:sz w:val="20"/>
        </w:rPr>
        <w:t>Renewal Deadline</w:t>
      </w:r>
      <w:r>
        <w:rPr>
          <w:rFonts w:ascii="Times New Roman;Times;Serif" w:hAnsi="Times New Roman;Times;Serif"/>
          <w:b w:val="false"/>
          <w:i w:val="false"/>
          <w:caps w:val="false"/>
          <w:smallCaps w:val="false"/>
          <w:sz w:val="20"/>
        </w:rPr>
        <w:t>”) of the initial effective date of the Registration Statement, any Warrants remain outstanding and exercisable, the Company will, prior to the Renewal Deadline, file, if it has not already done so and is eligible to do so, a new automatic shelf registration statement relating to the Securities, in a form satisfactory to the Representative. If the Company is not eligible to file an automatic shelf registration statement, the Company will, prior to the Renewal Deadline, if it has not already done so, file a new shelf registration statement relating to the Securities, in a form satisfactory to the Representative, and will use its best efforts to cause such registration statement to be declared effective within 180 days after the Renewal Deadline. The Company will take all other action necessary or appropriate to permit the issuance and sale of the Securities to continue as contemplated in the expired registration statement relating to the Securities. References herein to the Registration Statement shall include such new automatic shelf registration statement or such new shelf registration statement,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The Company hereby agrees not to take, directly or indirectly, any action designed to cause or result in, or that has constituted or might reasonably be expected to constitute, under the Exchange Act or otherwise, the stabilization or manipulation of the price of any securities of the Company to facilitate the sale or resale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The Company hereby engages the Underwriters as its agents for the solicitation of the exercise of the Common Warrants (the “</w:t>
      </w:r>
      <w:r>
        <w:rPr>
          <w:rFonts w:ascii="Times New Roman;Times;Serif" w:hAnsi="Times New Roman;Times;Serif"/>
          <w:b/>
          <w:i w:val="false"/>
          <w:caps w:val="false"/>
          <w:smallCaps w:val="false"/>
          <w:sz w:val="20"/>
        </w:rPr>
        <w:t>Solicitation Agents</w:t>
      </w:r>
      <w:r>
        <w:rPr>
          <w:rFonts w:ascii="Times New Roman;Times;Serif" w:hAnsi="Times New Roman;Times;Serif"/>
          <w:b w:val="false"/>
          <w:i w:val="false"/>
          <w:caps w:val="false"/>
          <w:smallCaps w:val="false"/>
          <w:sz w:val="20"/>
        </w:rPr>
        <w:t>”). The Company will (i) provide reasonable assistance to the Underwriters with respect to the solicitation, if requested by the Underwriters and (ii) provide the Underwriters with lists of the record and, to the extent known, beneficial, owners of the Common Warrants. For each Common Warrant exercised, the Company will pay the Underwriters a solicitation fee (the “</w:t>
      </w:r>
      <w:r>
        <w:rPr>
          <w:rFonts w:ascii="Times New Roman;Times;Serif" w:hAnsi="Times New Roman;Times;Serif"/>
          <w:b/>
          <w:i w:val="false"/>
          <w:caps w:val="false"/>
          <w:smallCaps w:val="false"/>
          <w:sz w:val="20"/>
        </w:rPr>
        <w:t>Solicitation Fee</w:t>
      </w:r>
      <w:r>
        <w:rPr>
          <w:rFonts w:ascii="Times New Roman;Times;Serif" w:hAnsi="Times New Roman;Times;Serif"/>
          <w:b w:val="false"/>
          <w:i w:val="false"/>
          <w:caps w:val="false"/>
          <w:smallCaps w:val="false"/>
          <w:sz w:val="20"/>
        </w:rPr>
        <w:t xml:space="preserve">”) of one percent (1.0%) of cash proceeds received by the Company from the exercise price of the Common Warrants, allocated among the Underwriters pro rata based on the respective number of Shares, Pre-Funded Warrants and Common Warrants set forth opposite such Underwriter’s name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The Company shall provide the Underwriters with written notice of each such solicited exercise of Common Warrants within forty-eight (48) hours of the applicable exercise date of such Common Warrants. Any such Solicitation Fee shall be paid to the Representative not less than two (2) business days after the exercise payment giving rise to such Solicitation Fee and shall be paid by wire transfer of immediately available funds to an account previously specified by the Representative. The Company agrees to disclose the arrangement to pay solicitation fees to the Underwriters in the Prospectus. Notwithstanding the foregoing, as required by FINRA Rule 5110(g)(10), no Solicitation Fee shall be payable to the Underwriters hereunder in respect of the exercise of a Common Warrant if: (i) the market price of the underlying shares of Common Stock is lower than the exercise price of the Common Warrant at the time of exercise, (ii) the Common Warrant is held in a discretionary account of the Underwriters at the time of exercise, unless prior specific written approval for the exercise is received from the holder, (iii) the arrangement to pay the Solicitation Fee is not disclosed in the Prospectus or in any prospectus provided to the holder of the Common Warrant at the time of exercise, or (iv) the Common Warrant is exercised in an unsolicited transaction. As long as any Common Warrant remains outstanding, the Company shall use its reasonable best efforts to cooperate with the Solicitation Agents, during such periods as may be agreed from time to time between the Company and such Solicitation Agent, in connection with such Solicitation Agent’s solicitation efforts, including, without limitation, by furnishing such information and participating in such due diligence sessions as the Solicitation Agents may reasonably request and confirming to the Solicitation Agents that, at the time of such solicitation efforts, the Company is not, and could not reasonably be deemed to be, in possession of material non-public information. Each of the Solicitation Agents shall have the right to suspend or pause their solicitation efforts or terminate its role as a Solicitation Agent during any period in which the Company is, or could reasonably be deemed to be, in possession of material non-public information or where such Solicitation Agent concludes such solicitation efforts do not comply with its internal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w:t>
        <w:tab/>
        <w:t>       </w:t>
      </w:r>
      <w:r>
        <w:rPr>
          <w:rFonts w:ascii="Times New Roman;Times;Serif" w:hAnsi="Times New Roman;Times;Serif"/>
          <w:b w:val="false"/>
          <w:i w:val="false"/>
          <w:caps w:val="false"/>
          <w:smallCaps w:val="false"/>
          <w:sz w:val="20"/>
          <w:u w:val="single"/>
        </w:rPr>
        <w:t>Conditions of the Underwriters’ Obligations</w:t>
      </w:r>
      <w:r>
        <w:rPr>
          <w:rFonts w:ascii="Times New Roman;Times;Serif" w:hAnsi="Times New Roman;Times;Serif"/>
          <w:b w:val="false"/>
          <w:i w:val="false"/>
          <w:caps w:val="false"/>
          <w:smallCaps w:val="false"/>
          <w:sz w:val="20"/>
        </w:rPr>
        <w:t>. The respective obligations of the several Underwriters hereunder to purchase the Shares and the Warrants are subject to the accuracy, as of the date hereof and at all times through the Closing Date, of and compliance with all representations, warranties and agreements of the Company contained herein, the performance by the Company of its obligations hereunder and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filing of the Final Prospectus, or any amendment or supplement thereto, or any Issuer Free Writing Prospectus, is required under the Securities Act or the Rules and Regulations, the Company shall have filed the Final Prospectus (or such amendment or supplement) or such Issuer Free Writing Prospectus with the Commission in the manner and within the time period so required (without reliance on Rule 424(b)(8) or 164(b) under the Securities Act); the Registration Statement shall remain effective; no stop order suspending the effectiveness of the Registration Statement or any part thereof, any Rule 462 Registration Statement, or any amendment thereof, nor suspending or preventing the use of the Time of Sale Disclosure Package, any Prospectus, the Final Prospectus or any Issuer Free Writing Prospectus shall have been issued; no proceedings for the issuance of such an order shall have been initiated or threatened by the Commission; any request of the Commission or the Representative for additional information (to be included in the Registration Statement, the Time of Sale Disclosure Package, any Prospectus, the Final Prospectus, any Issuer Free Writing Prospectus or otherwise) shall have been complied with to the satisfaction of the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Shares and the Warrant Shares shall be approved for listing on the NYSE, subject to official notice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FINRA shall have raised no objection to the fairness and reasonableness of the underwriting terms and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Representative shall not have reasonably determined, and advised the Company, that the Registration Statement, the Time of Sale Disclosure Package, any Prospectus, the Final Prospectus, or any amendment thereof or supplement thereto, or any Issuer Free Writing Prospectus, contains an untrue statement of fact which, in the reasonable opinion of the Representative, is material, or omits to state a fact which, in the reasonable opinion of the Representative, is material and is required to be stated therein or necessary to make the statements therein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the Closing Date, the Representative shall have received copies of the Pre-Funded Warrants, the Common Warrants and the Warrant Agent Agreement executed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On the Closing Date, there shall have been furnished to the Representative, for the benefit of the Underwriters, the opinion and negative assurance letters of O’Melveny &amp; Myers LLP, counsel to the Company, dated the Closing Date and addressed to the Underwriters, in form and substance reasonably satisfactory to the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On the Closing Date, there shall have been furnished to the Representative the opinion and negative assurance letter of Davis Polk &amp; Wardwell LLP, counsel to the Underwriters, dated the Closing Date and addressed to the Underwriters, in form and substance reasonably satisfactory to the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Representative, for the benefit of the Underwriters, shall have received a letter of Deloitte &amp; Touche LLP, on the date hereof and on the Closing Date, addressed to the Underwriters, confirming that they are independent public accountants within the meaning of the Securities Act and are in compliance with the applicable requirements relating to the qualifications of accountants under Rule 2-01 of Regulation S-X of the Commission, and confirming, as of the date of each such letter (or, with respect to matters involving changes or developments since the respective dates as of which specified financial information is given in the Registration Statement, the Time of Sale Disclosure Package and the Final Prospectus, as of a date not prior to the date hereof or more than three business days prior to the date of such letter), the conclusions and findings of said firm with respect to the financial information and other matters required by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Closing Date, there shall have been furnished to the Representative, for the benefit of the Underwriters, a certificate, dated the Closing Date and addressed to the Underwriters, signed by the chief executive officer or the chief financial officer of the Company, in his or her capacity as an officer of the Company, to the effect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representations and warranties of the Company in this Agreement that are qualified by materiality or by reference to any Material Adverse Effect are true and correct in all respects, and all other representations and warranties of the Company in this Agreement are true and correct, in all material respects, as if made at and as of the Closing Date, and the Company has complied with all the agreements and satisfied all the conditions on its part required to be performed or satisfied at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stop order or other order suspending the effectiveness of the Registration Statement or any part thereof or any amendment thereof, suspending the qualification of the Securities for offering or sale, or suspending or preventing the use of the Time of Sale Disclosure Package, any Prospectus, the Final Prospectus or any Issuer Free Writing Prospectus, has been issued, and no proceeding for that purpose has been instituted or, to their knowledge, is contemplated by the Commission or any state or regulatory body;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has been no occurrence of any event resulting or reasonably likely to result in a Material Adverse Effect during the period from and after the date of this Agreement and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On or before the date hereof, the Representative shall have received duly executed lock-up agreements (each a “</w:t>
      </w:r>
      <w:r>
        <w:rPr>
          <w:rFonts w:ascii="Times New Roman;Times;Serif" w:hAnsi="Times New Roman;Times;Serif"/>
          <w:b/>
          <w:i w:val="false"/>
          <w:caps w:val="false"/>
          <w:smallCaps w:val="false"/>
          <w:sz w:val="20"/>
        </w:rPr>
        <w:t>Lock-Up Agreement</w:t>
      </w:r>
      <w:r>
        <w:rPr>
          <w:rFonts w:ascii="Times New Roman;Times;Serif" w:hAnsi="Times New Roman;Times;Serif"/>
          <w:b w:val="false"/>
          <w:i w:val="false"/>
          <w:caps w:val="false"/>
          <w:smallCaps w:val="false"/>
          <w:sz w:val="20"/>
        </w:rPr>
        <w:t xml:space="preserve">”) in the form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by and between the Representative and each of the parties specified in </w:t>
      </w:r>
      <w:r>
        <w:rPr>
          <w:rFonts w:ascii="Times New Roman;Times;Serif" w:hAnsi="Times New Roman;Times;Serif"/>
          <w:b w:val="false"/>
          <w:i w:val="false"/>
          <w:caps w:val="false"/>
          <w:smallCaps w:val="false"/>
          <w:sz w:val="20"/>
          <w:u w:val="single"/>
        </w:rPr>
        <w:t>‎Schedule 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shall have furnished to the Underwriters and their counsel such additional documents, certificates and evidence as the Representative or its counsel may have reasonably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condition specified in this ‎Section 6 shall not have been fulfilled when and as required to be fulfilled, this Agreement may be terminated by the Representative by notice to the Company any time at or prior to the Closing Date, and such termination shall be without liability of any party to any other party, except that Section ‎5(a)(viii), ‎Section 7 and ‎Section 8 shall survive any such termination and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7.</w:t>
        <w:tab/>
        <w:t>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agrees to indemnify, defend and hold harmless each Underwriter, its affiliates, directors and officers and employees, and each person, if any, who controls such Underwriter within the meaning of Section 15 of the Securities Act or Section 20 of the Exchange Act, from and against any losses, claims, damages or liabilities to which such party may become subject, under the Securities Act or otherwise (including in settlement of any litigation if such settlement is effected with the written consent of the Company), insofar as such losses, claims, damages or liabilities (or actions in respect thereof) arise out of or are based upon an untrue statement or alleged untrue statement of a material fact contained in the Registration Statement, including the information deemed to be a part of the Registration Statement at the time of effectiveness and at any subsequent time pursuant to Rules 430A and 430B of the Rules and Regulations, or arise out of or are based upon the omission from the Registration Statement, or alleged omission to state therein, a material fact required to be stated therein or necessary to make the statements therein not misleading, an untrue statement or alleged untrue statement of a material fact contained in the Time of Sale Disclosure Package, any Prospectus, the Final Prospectus, or any amendment or supplement thereto, any Issuer Free Writing Prospectus, or the Marketing Materials or in any other materials used in connection with the offering of the Securities or in connection with the solicitation of the exercise of Common Warrants, or arise out of or are based upon the omission or alleged omission to state therein a material fact required to be stated therein or necessary to make the statements therein, in light of the circumstances under which they were made, not misleading, or arising in any manner out of or in connection with the services or matters relating to the engagement of the Solicitation Agents pursuant to Section 5(a)(xviii) of this Agreement, or in whole or in part, any failure of the Company to perform its obligations hereunder or under law, and will reimburse such party for any legal or other expenses reasonably incurred by such party in connection with evaluating, investigating or defending against such loss, claim, damage, liability or 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indemnity shall not inure to the benefit of any Underwriter (or any person controlling such Underwriter) in any such case to the extent that any such loss, claim, damage, liability or action arises out of or is based upon an untrue statement or alleged untrue statement or omission or alleged omission made in the Registration Statement, the Time of Sale Disclosure Package, any Prospectus, the Final Prospectus, or any amendment or supplement thereto or any Issuer Free Writing Prospectus or Marketing Materials, in reliance upon and in conformity with written information furnished to the Company by the related Underwriter specifically for use in the preparation thereof, which written information is described in Section 7(f). Notwithstanding the foregoing, the Company shall not be liable for, and no Solicitation Agent shall be entitled to indemnification, contribution, reimbursement or advancement from the Company in respect of, any Losses in connection with such Solicitation Agent’s solicitation of the exercise of Common Warrants to the extent Losses directly resulted from such indemnified party’s gross negligence, willful misconduct, bad faith or fraud, in each case as determined by a court of competent jurisdiction in a final, non-appealable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Underwriter, severally and not jointly, will indemnify, defend and hold harmless the Company, its directors and each officer of the Company who signs the Registration Statement and each person, if any, who controls the Company within the meaning of Section 15 of the Securities Act or Section 20 of the Exchange Act, from and against any losses, claims, damages or liabilities to which such party may become subject, under the Securities Act or otherwise (including in settlement of any litigation, if such settlement is effected with the written consent of such Underwriter), insofar as such losses, claims, damages or liabilities (or actions in respect thereof) arise out of or are based upon an untrue statement or alleged untrue statement of a material fact contained in the Registration Statement, including the information deemed to be a part of the Registration Statement at the time of effectiveness and at any subsequent time pursuant to Rules 430A and 430B of the Rules and Regulations, or arise out of or are based upon the omission from the Registration Statement, or alleged omission to state therein, a material fact required to be stated therein or necessary to make the statements therein not misleading or an untrue statement or alleged untrue statement of a material fact contained in the Time of Sale Disclosure Package, any Prospectus, the Final Prospectus, or any amendment or supplement thereto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Time of Sale Disclosure Package, any Prospectus, the Final Prospectus, or any amendment or supplement thereto or any Issuer Free Writing Prospectus in reliance upon and in conformity with written information furnished to the Company by such Underwriter specifically for use in the preparation thereof, which written information is described in Section 7(f), and will reimburse such party for any legal or other expenses reasonably incurred by such party in connection with evaluating, investigating, and defending against any such loss, claim, damage, liability or action. The obligation of each Underwriter to indemnify the Company (including any controlling person, director or officer thereof) shall be limited to the amount of the underwriting discount applicable to the Securities to be purchased by such Underwriter hereunder actually received by such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failure to notify the indemnifying party shall not relieve the indemnifying party from any liability that it may have to any indemnified party except to the extent such indemnifying party has been materially prejudiced by such failure. In case any such action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reasonably satisfactory to such indemnified party, and after notice from the indemnifying party to such indemnified party of the indemnifying party’s election so to assume the defense thereof, the indemnifying party shall not be liable to such indemnified party under such subsection for any legal or other expenses subsequently incurred by such indemnified party in connection with the defense thereof other than reasonable costs of investigation;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(i) the indemnified party has reasonably concluded (based on advice of counsel) that there may be legal defenses available to it or other indemnified parties that are different from or in addition to those available to the indemnifying party, (ii)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(iii) the indemnifying party has not in fact employed counsel reasonably satisfactory to the indemnified party to assume the defense of such action within a reasonable time after receiving notice of the commencement of the action, the indemnified party shall have the right to employ a single counsel to represent it in any claim in respect of which indemnity may be sought under subsection ‎(a) or ‎(b) of this ‎Section 7, in which event, the reasonable fees and expenses of such separate counsel shall be borne by the indemnifying party or parties and reimbursed to the indemnified party as incurred. In no event shall the indemnifying party be liable for the reasonable fees and expenses of more than one counsel (in addition to one local counsel) separate from its own counsel for all indemnified parties in connection with any action or separate but similar or related actions in the same jurisdiction arising out of the same general allegations or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indemnifying party under this ‎Section 7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 indemnifying party shall, without the prior written consent of the indemnified party, effect any settlement, compromise or consent to the entry of judgment in any pending or threatened action, suit or proceeding in respect of which any indemnified party is a party or could reasonably be named and indemnity was or would be sought hereunder by such indemnified party, unless such settlement, compromise or consent (a) includes an unconditional release of such indemnified party from all liability for claims that are the subject matter of such action, suit or proceeding and (b) does not include a statement as to or an admission of fault, culpability or a failure to act by or on behalf of any indemnified party. Notwithstanding the foregoing, if at any time an indemnified party shall have requested an indemnifying party to reimburse the indemnified party for fees and expenses of counsel as contemplated by Section 7(a)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or disputed in good faith the indemnified party’s entitlement to such reimbursement prior to the date of such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indemnification provided for in this ‎Section 7 is unavailable or insufficient to hold harmless an indemnified party under subsection ‎(a) or ‎(b) above, then each indemnifying party shall contribute to the amount paid or payable by such indemnified party as a result of the losses, claims, damages or liabilities referred to in subsection ‎(a) or ‎(b) above, in such proportion as is appropriate to reflect the relative benefits received by the Company on the one hand and the Underwriters on the other from the offering and sale of the Securities or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 and commissions received by the Underwriters, in each case as set forth in the table on the cover page of the Final Prospectus.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relevant intent, knowledge, access to information and opportunity to correct or prevent such untrue statement or omission. The Company and the Underwriters agree that it would not be just and equitable if contributions pursuant to this subsection ‎(d) were to be determined by pro rata allocation or by any other method of allocation that does not take account of the equitable considerations referred to in the first sentence of this subsection ‎(d).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against any action or claim that is the subject of this subsection ‎(d). Notwithstanding the provisions of this subsection ‎(d), no Underwriter shall be required to contribute any amount in excess of the amount of the underwriting discount and commissions applicable to the Securities to be purchased by such Underwriter hereunder actually received by such Underwriter. No person guilty of fraudulent misrepresentation (within the meaning of Section 11(f) of the Securities Act) shall be entitled to contribution from any person who was not guilty of such fraudulent misrepresentation. The Underwriters’ respective obligations to contribute as provided in this Section 7 are several in proportion to their respective underwriting commitments and not joint.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obligations of the Company under this ‎Section 7 shall be in addition to any liability that the Company may otherwise have and the benefits of such obligations shall extend, upon the same terms and conditions, to each person, if any, who controls any Underwriter within the meaning of Section 15 of the Securities Act or Section 20 of the Exchange Act; and the obligations of each Underwriter under this ‎Section 7 shall be in addition to any liability that each Underwriter may otherwise have and the benefits of such obligations shall extend, upon the same terms and conditions, to the Company, and its officers, directors and each person who controls the Company within the meaning of Section 15 of the Securities Act or Section 20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For purposes of this Agreement, each Underwriter severally confirms, and the Company acknowledges, that there is no information concerning such Underwriter furnished in writing to the Company by such Underwriter specifically for preparation of or inclusion in the Registration Statement, the Time of Sale Disclosure Package, any Prospectus, the Final Prospectus or any Issuer Free Writing Prospectus, other than the statement set forth in the last paragraph on the cover page of the Prospectus, the marketing and legal names of each Underwriter, and the statements set forth in the “Underwriting” section of the Registration Statement, the Time of Sale Disclosure Package and the Final Prospectus only insofar as such statements relate to the amount of selling concession and re-allowance, if any, or to over-allotment, stabilization and related activities that may be undertaken by such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w:t>
        <w:tab/>
        <w:t>       </w:t>
      </w:r>
      <w:r>
        <w:rPr>
          <w:rFonts w:ascii="Times New Roman;Times;Serif" w:hAnsi="Times New Roman;Times;Serif"/>
          <w:b w:val="false"/>
          <w:i w:val="false"/>
          <w:caps w:val="false"/>
          <w:smallCaps w:val="false"/>
          <w:sz w:val="20"/>
          <w:u w:val="single"/>
        </w:rPr>
        <w:t>Representations and Agreements to Survive Delivery</w:t>
      </w:r>
      <w:r>
        <w:rPr>
          <w:rFonts w:ascii="Times New Roman;Times;Serif" w:hAnsi="Times New Roman;Times;Serif"/>
          <w:b w:val="false"/>
          <w:i w:val="false"/>
          <w:caps w:val="false"/>
          <w:smallCaps w:val="false"/>
          <w:sz w:val="20"/>
        </w:rPr>
        <w:t>. All representations, warranties and agreements of the Company contained herein or in certificates delivered pursuant to this Agreement, including, but not limited to, the agreements of the Underwriters and the Company contained in ‎Section 5(a)(viii) and ‎Section 7 hereof, shall remain operative and in full force and effect regardless of any investigation made by or on behalf of the Underwriters or any controlling person thereof, or the Company or any of its officers, directors or controlling persons, and shall survive delivery of, and payment for, the Securities to and by the Underwriters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w:t>
        <w:tab/>
        <w:t>       </w:t>
      </w:r>
      <w:r>
        <w:rPr>
          <w:rFonts w:ascii="Times New Roman;Times;Serif" w:hAnsi="Times New Roman;Times;Serif"/>
          <w:b w:val="false"/>
          <w:i w:val="false"/>
          <w:caps w:val="false"/>
          <w:smallCaps w:val="false"/>
          <w:sz w:val="20"/>
          <w:u w:val="single"/>
        </w:rPr>
        <w:t>Termination of this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Representative shall have the right to terminate this Agreement by giving notice to the Company as hereinafter specified at any time at or prior to the Closing Date, if in the discretion of the Representative, there has occurred any material adverse change in the securities markets or any event, act or occurrence that has materially disrupted, or in the opinion of the Representative, will in the future materially disrupt, the securities markets or there shall be such a material adverse change in general financial, political or economic conditions or the effect of international conditions on the financial markets in the United States is such as to make it, in the judgment of the Representative, inadvisable or impracticable to market the Securities or enforce contracts for the sale of the Securities, trading in the Common Stock shall have been suspended by the Commission or the NYSE or trading in securities generally on the Nasdaq Stock Market, the NYSE or the NYSE American shall have been suspended, minimum or maximum prices for trading shall have been fixed, or maximum ranges for prices for securities shall have been required, on the Nasdaq Stock Market, the NYSE or NYSE American, by such exchange or by order of the Commission or any other governmental authority having jurisdiction, a banking moratorium shall have been declared by federal or state authorities,  there shall have occurred any attack on, outbreak or escalation of hostilities or act of terrorism involving the United States, any declaration by the United States of a national emergency or war, any substantial change or development involving a prospective substantial change in United States or other international political, financial or economic conditions or any other calamity or crisis, the Company suffers any loss by strike, fire, flood, earthquake, accident or other calamity, whether or not covered by insurance, or in the judgment of the Representative, there has been, since the time of execution of this Agreement or since the respective dates as of which information is given in the Registration Statement, the Time of Sale Disclosure Package or the Final Prospectus, any material adverse change in the assets, properties, condition, financial or otherwise, or in the results of operations, business affairs or business prospects of the Company and its subsidiaries considered as a whole, whether or not arising in the ordinary course of business. Any such termination shall be without liability of any party to any other party except that the provisions of ‎Section 5(a)(viii) and ‎Section 7 hereof shall at all times be effective and shall survive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Representative elects to terminate this Agreement as provided in this Section, the Company and the other Underwriters shall be notified promptly by the Representative by telephone and confirmed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w:t>
        <w:tab/>
        <w:t>     </w:t>
      </w:r>
      <w:r>
        <w:rPr>
          <w:rFonts w:ascii="Times New Roman;Times;Serif" w:hAnsi="Times New Roman;Times;Serif"/>
          <w:b w:val="false"/>
          <w:i w:val="false"/>
          <w:caps w:val="false"/>
          <w:smallCaps w:val="false"/>
          <w:sz w:val="20"/>
          <w:u w:val="single"/>
        </w:rPr>
        <w:t>Substitution of Underwriters</w:t>
      </w:r>
      <w:r>
        <w:rPr>
          <w:rFonts w:ascii="Times New Roman;Times;Serif" w:hAnsi="Times New Roman;Times;Serif"/>
          <w:b w:val="false"/>
          <w:i w:val="false"/>
          <w:caps w:val="false"/>
          <w:smallCaps w:val="false"/>
          <w:sz w:val="20"/>
        </w:rPr>
        <w:t>. If any Underwriter or Underwriters shall default in its or their obligations to purchase Securities hereunder on the Closing Date and the aggregate number of Securities which such defaulting Underwriter or Underwriters agreed but failed to purchase does not exceed ten percent (10%) of the total number of Securities to be purchased by all Underwriters on such Closing Date, the other Underwriters shall be obligated severally, in proportion to their respective commitments hereunder, to purchase the Securities which such defaulting Underwriter or Underwriters agreed but failed to purchase on such Closing Date. If any Underwriter or Underwriters shall so default and the aggregate number of Securities with respect to which such default or defaults occur is more than ten percent (10%) of the total number of Securities to be purchased by all Underwriters on such Closing Date and arrangements satisfactory to the remaining Underwriters and the Company for the purchase of such Securities by other persons are not made within forty-eight (48) hours after such default, this Agreement shall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remaining Underwriters or substituted Underwriters are required hereby or agree to take up all or part of the Securities of a defaulting Underwriter or Underwriters on such Closing Date as provided in this ‎Section 10, (i) the Company shall have the right to postpone such Closing Date for a period of not more than five (5) full business days in order to permit the Company to effect whatever changes in the Registration Statement, the Final Prospectus or in any other documents or arrangements, which may thereby be made necessary, and the Company agrees to promptly file any amendments to the Registration Statement or the Final Prospectus which may thereby be made necessary, and (ii) the respective numbers of Securities to be purchased by the remaining Underwriters or substituted Underwriters shall be taken as the basis of their underwriting obligation for all purposes of this Agreement. Nothing herein contained shall relieve any defaulting Underwriter of its liability to the Company or any other Underwriter for damages occasioned by its default hereunder. Any termination of this Agreement pursuant to this ‎Section 10 shall be without liability on the part of any non-defaulting Underwriters or the Company, except that the representations, warranties, covenants, indemnities, agreements and other statements set forth in ‎Section 2 and ‎3, the obligations with respect to expenses to be paid or reimbursed pursuant to ‎Section 5 and the provisions of ‎Section 5(a)(viii) and ‎Section 7 and Sections ‎11 through 18, inclusive, shall not terminate and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term “Underwriter” shall be deemed to include any person substituted for a defaulting Underwriter under this Section 10. Any action taken under this Section 10 shall not relieve any defaulting Underwriter from liability in respect of any default of such Underwriter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w:t>
        <w:tab/>
        <w:t>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Except as otherwise provided herein, all communications hereunder shall be in writing and, if to the Representative, shall be mailed, delivered or telecopied to Guggenheim Securities, LLC, 330 Madison Avenue, New York, NY 10017, Attention: William Ortner, Email: William.Ortner@guggenheimpartners.com; and if to the Company, shall be mailed, delivered or telecopied to it at Centrus Energy Corp., 6901 Rockledge Drive, Suite 800, Bethesda, MD 20817, Attention: Todd M. Tinelli, Chief Financial Officer, Email: TinelliTM@centrusenergy.com, with a copy to O’Melveny &amp; Myers LLP, Attn: Brophy Christensen and David Ni, Two Embarcadero Center, 28th Floor, San Francisco, California 94111; or in each case to such other address as the person to be notified may have requested in writing. Any party to this Agreement may change such address for notices by sending to the parties to this Agreement written notice of a new address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12.</w:t>
        <w:tab/>
        <w:t>     </w:t>
      </w:r>
      <w:r>
        <w:rPr>
          <w:rFonts w:ascii="Times New Roman;Times;Serif" w:hAnsi="Times New Roman;Times;Serif"/>
          <w:b w:val="false"/>
          <w:i w:val="false"/>
          <w:caps w:val="false"/>
          <w:smallCaps w:val="false"/>
          <w:sz w:val="20"/>
          <w:u w:val="single"/>
        </w:rPr>
        <w:t>Persons Entitled to Benefit of Agreement</w:t>
      </w:r>
      <w:r>
        <w:rPr>
          <w:rFonts w:ascii="Times New Roman;Times;Serif" w:hAnsi="Times New Roman;Times;Serif"/>
          <w:b w:val="false"/>
          <w:i w:val="false"/>
          <w:caps w:val="false"/>
          <w:smallCaps w:val="false"/>
          <w:sz w:val="20"/>
        </w:rPr>
        <w:t>. This Agreement shall inure to the benefit of and be binding upon the parties hereto and their respective successors and assigns and the controlling persons, officers and directors referred to in ‎Section 7. 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Securities from any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13.</w:t>
        <w:tab/>
        <w:t>     </w:t>
      </w:r>
      <w:r>
        <w:rPr>
          <w:rFonts w:ascii="Times New Roman;Times;Serif" w:hAnsi="Times New Roman;Times;Serif"/>
          <w:b w:val="false"/>
          <w:i w:val="false"/>
          <w:caps w:val="false"/>
          <w:smallCaps w:val="false"/>
          <w:sz w:val="20"/>
          <w:u w:val="single"/>
        </w:rPr>
        <w:t>Research Analyst Independence</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The Company acknowledges that the Underwriters’ research analysts and research departments are required to be independent from their respective investment banking divisions and are subject to certain regulations and internal policies, and that the Underwriters’ research analysts may hold views and make statements or investment recommendations and/or publish research reports with respect to the Company and/or the offering that differ from the views of the Underwriters’ investment banking divisions. The Company hereby waives and releases, to the fullest extent permitted by law, any claims that the Company may have against an Underwriter with respect to any conflict of interest that may arise from the fact that the views expressed by their independent research analysts and research departments may be different from or inconsistent with the views or advice communicated to the Company by the Underwriter’s investment banking divisions. The Company acknowledges that each Underwriter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14.</w:t>
        <w:tab/>
        <w:t>     </w:t>
      </w:r>
      <w:r>
        <w:rPr>
          <w:rFonts w:ascii="Times New Roman;Times;Serif" w:hAnsi="Times New Roman;Times;Serif"/>
          <w:b w:val="false"/>
          <w:i w:val="false"/>
          <w:caps w:val="false"/>
          <w:smallCaps w:val="false"/>
          <w:sz w:val="20"/>
          <w:u w:val="single"/>
        </w:rPr>
        <w:t>Absence of Fiduciary Relationship</w:t>
      </w:r>
      <w:r>
        <w:rPr>
          <w:rFonts w:ascii="Times New Roman;Times;Serif" w:hAnsi="Times New Roman;Times;Serif"/>
          <w:b/>
          <w:i/>
          <w:caps w:val="false"/>
          <w:smallCaps w:val="false"/>
          <w:sz w:val="20"/>
        </w:rPr>
        <w:t>.</w:t>
      </w:r>
      <w:r>
        <w:rPr>
          <w:rFonts w:ascii="Times New Roman;Times;Serif" w:hAnsi="Times New Roman;Times;Serif"/>
          <w:b w:val="false"/>
          <w:i w:val="false"/>
          <w:caps w:val="false"/>
          <w:smallCaps w:val="false"/>
          <w:sz w:val="20"/>
        </w:rPr>
        <w:t xml:space="preserve"> The Company acknowledges and agrees that: each Underwriter has been retained solely to act as underwriter in connection with the sale of the Securities and that no fiduciary, advisory or agency relationship between the Company and any Underwriter has been created in respect of any of the transactions contemplated by this Agreement, irrespective of whether the Underwriter has advised or is advising the Company on other matters; the price and other terms of the Securities set forth in this Agreement were established by the Company following discussions and arm’s-length negotiations with the Underwriters and the Company is capable of evaluating and understanding and understands and accepts the terms, risks and conditions of the transactions contemplated by this Agreement; it has been advised that the Underwriters and their affiliates are engaged in a broad range of transactions that may involve interests that differ from those of the Company and that no Underwriter has any obligation to disclose such interests and transactions to the Company by virtue of any fiduciary, advisory or agency relationship; and it has been advised that each Underwriter is acting, in respect of the transactions contemplated by this Agreement, solely for the benefit of such Underwriter, and not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15.</w:t>
        <w:tab/>
        <w:t>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No supplement, modification or waiver of this Agreement shall be binding unless executed in writing by the party to be bound thereby. The failure of a party to exercise any right or remedy shall not be deemed or constitute a waiver of such right or remedy in the future. No waiver of any of the provisions of this Agreement shall be deemed or shall constitute a waiver of any other provision hereof (regardless of whether similar), nor shall any such waiver be deemed or constitute a continuing waiver unless otherwise expressly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16.</w:t>
        <w:tab/>
        <w:t>     </w:t>
      </w:r>
      <w:r>
        <w:rPr>
          <w:rFonts w:ascii="Times New Roman;Times;Serif" w:hAnsi="Times New Roman;Times;Serif"/>
          <w:b w:val="false"/>
          <w:i w:val="false"/>
          <w:caps w:val="false"/>
          <w:smallCaps w:val="false"/>
          <w:sz w:val="20"/>
          <w:u w:val="single"/>
        </w:rPr>
        <w:t>Partial Unenforceability</w:t>
      </w:r>
      <w:r>
        <w:rPr>
          <w:rFonts w:ascii="Times New Roman;Times;Serif" w:hAnsi="Times New Roman;Times;Serif"/>
          <w:b w:val="false"/>
          <w:i w:val="false"/>
          <w:caps w:val="false"/>
          <w:smallCaps w:val="false"/>
          <w:sz w:val="20"/>
        </w:rPr>
        <w:t>. The invalidity or unenforceability of any section, paragraph, clause or provision of this Agreement shall not affect the validity or enforceability of any other section, paragraph, clause or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17.</w:t>
        <w:tab/>
        <w:t>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caps w:val="false"/>
          <w:smallCaps w:val="false"/>
          <w:sz w:val="20"/>
          <w:u w:val="single"/>
        </w:rPr>
        <w:t>.</w:t>
      </w:r>
      <w:r>
        <w:rPr>
          <w:rFonts w:ascii="Times New Roman;Times;Serif" w:hAnsi="Times New Roman;Times;Serif"/>
          <w:b w:val="false"/>
          <w:i w:val="false"/>
          <w:caps w:val="false"/>
          <w:smallCaps w:val="false"/>
          <w:sz w:val="20"/>
        </w:rPr>
        <w:t xml:space="preserve"> This Agreement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18.</w:t>
        <w:tab/>
        <w:t>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 Each party hereto irrevocably submits to the jurisdiction of the Supreme Court of the State of New York, Borough of Manhattan or the United States District Court for the Southern District of New York for the purpose of any suit, action, or other proceeding arising out of this Agreement, or any of the agreements or transactions contemplated by this Agreement, the Registration Statement, the Time of Sale Disclosure Package, any Prospectus and the Final Prospectus (each a “</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agrees that all claims in respect of any Proceeding may be heard and determined in any such court, waives, to the fullest extent permitted by law, any immunity from jurisdiction of any such court or from any legal process therein, agrees not to commence any Proceeding other than in such courts, and waives, to the fullest extent permitted by law, any claim that such Proceeding is brought in an inconvenient forum. EACH PARTY HERETO (ON BEHALF OF ITSELF AND, TO THE FULLEST EXTENT PERMITTED BY LAW, ON BEHALF OF ITS RESPECTIVE EQUITY HOLDERS AND CREDITORS) HEREBY WAIVES ANY RIGHT IT MAY HAVE TO A TRIAL BY JURY IN RESPECT OF ANY CLAIM BASED UPON, ARISING OUT OF OR IN CONNECTION WITH THIS AGREEMENT AND THE TRANSACTIONS CONTEMPLATED BY THIS AGREEMENT, THE REGISTRATION STATEMENT, THE TIME OF SALE DISCLOSURE PACKAGE, ANY PROSPECTUS AND THE FINAL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19.</w:t>
        <w:tab/>
        <w:t>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counterparts, each of which when so executed shall be deemed to be an original and all of which when taken together shall constitute one and the same instrument. The words “execution,” “signed,” “signature,” and words of like import in this Agreement or in any other certificate, agreement or document related to this Agreement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w:t>
        <w:tab/>
        <w:t>     </w:t>
      </w:r>
      <w:r>
        <w:rPr>
          <w:rFonts w:ascii="Times New Roman;Times;Serif" w:hAnsi="Times New Roman;Times;Serif"/>
          <w:b w:val="false"/>
          <w:i w:val="false"/>
          <w:caps w:val="false"/>
          <w:smallCaps w:val="false"/>
          <w:sz w:val="20"/>
          <w:u w:val="single"/>
        </w:rPr>
        <w:t>Recognition of the U.S. Special Resolution Regimes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Underwriter that is a Covered Entity becomes subject to a proceeding under a U.S. Special Resolution Regime, the transfer from such party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Underwriter that is a Covered Entity or any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Section 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means any of the following: a “covered entity” as that term is defined in, and interpreted in accordance with, 12 C.F.R. § 252.82(b);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covered bank</w:t>
      </w:r>
      <w:r>
        <w:rPr>
          <w:rFonts w:ascii="Times New Roman;Times;Serif" w:hAnsi="Times New Roman;Times;Serif"/>
          <w:b w:val="false"/>
          <w:i w:val="false"/>
          <w:caps w:val="false"/>
          <w:smallCaps w:val="false"/>
          <w:sz w:val="20"/>
        </w:rPr>
        <w:t>” as that term is defined in, and interpreted in accordance with, 12 C.F.R. § 47.3(b);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covered FSI</w:t>
      </w:r>
      <w:r>
        <w:rPr>
          <w:rFonts w:ascii="Times New Roman;Times;Serif" w:hAnsi="Times New Roman;Times;Serif"/>
          <w:b w:val="false"/>
          <w:i w:val="false"/>
          <w:caps w:val="false"/>
          <w:smallCaps w:val="false"/>
          <w:sz w:val="20"/>
        </w:rPr>
        <w:t>”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sign and return to the Company the enclosed duplicates of this letter whereupon this letter will become a binding agreement between the Company and the several Underwriters in accordance with its terms.</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90"/>
        <w:gridCol w:w="3095"/>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CENTRUS ENERGY CORP.</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Amir V. Vexler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Amir V. Vexler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Confirmed as of the date first above-mentioned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Representative of the several Underwriters</w:t>
      </w:r>
    </w:p>
    <w:p>
      <w:pPr>
        <w:pStyle w:val="TextBody"/>
        <w:bidi w:val="0"/>
        <w:spacing w:before="0" w:after="0"/>
        <w:ind w:left="0" w:right="0" w:hanging="0"/>
        <w:jc w:val="left"/>
        <w:rPr>
          <w:caps w:val="false"/>
          <w:smallCaps w:val="false"/>
        </w:rPr>
      </w:pPr>
      <w:r>
        <w:rPr>
          <w:caps w:val="false"/>
          <w:smallCaps w:val="false"/>
        </w:rPr>
        <w:t> </w:t>
      </w:r>
    </w:p>
    <w:tbl>
      <w:tblPr>
        <w:tblW w:w="3214" w:type="dxa"/>
        <w:jc w:val="left"/>
        <w:tblInd w:w="0" w:type="dxa"/>
        <w:tblLayout w:type="fixed"/>
        <w:tblCellMar>
          <w:top w:w="0" w:type="dxa"/>
          <w:left w:w="0" w:type="dxa"/>
          <w:bottom w:w="0" w:type="dxa"/>
          <w:right w:w="0" w:type="dxa"/>
        </w:tblCellMar>
      </w:tblPr>
      <w:tblGrid>
        <w:gridCol w:w="652"/>
        <w:gridCol w:w="2487"/>
        <w:gridCol w:w="75"/>
      </w:tblGrid>
      <w:tr>
        <w:trPr/>
        <w:tc>
          <w:tcPr>
            <w:tcW w:w="313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GUGGENHEIM SECURITIES, LLC</w:t>
            </w:r>
          </w:p>
        </w:tc>
        <w:tc>
          <w:tcPr>
            <w:tcW w:w="75" w:type="dxa"/>
            <w:tcBorders/>
            <w:vAlign w:val="center"/>
          </w:tcPr>
          <w:p>
            <w:pPr>
              <w:pStyle w:val="TableContents"/>
              <w:bidi w:val="0"/>
              <w:spacing w:before="0" w:after="283"/>
              <w:jc w:val="left"/>
              <w:rPr/>
            </w:pPr>
            <w:r>
              <w:rPr/>
              <w:t> </w:t>
            </w:r>
          </w:p>
        </w:tc>
      </w:tr>
      <w:tr>
        <w:trPr/>
        <w:tc>
          <w:tcPr>
            <w:tcW w:w="313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8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Schaefer</w:t>
            </w:r>
          </w:p>
        </w:tc>
        <w:tc>
          <w:tcPr>
            <w:tcW w:w="75" w:type="dxa"/>
            <w:tcBorders/>
            <w:vAlign w:val="center"/>
          </w:tcPr>
          <w:p>
            <w:pPr>
              <w:pStyle w:val="TableContents"/>
              <w:bidi w:val="0"/>
              <w:spacing w:before="0" w:after="283"/>
              <w:jc w:val="left"/>
              <w:rPr/>
            </w:pPr>
            <w:r>
              <w:rPr/>
              <w:t> </w:t>
            </w:r>
          </w:p>
        </w:tc>
      </w:tr>
      <w:tr>
        <w:trPr/>
        <w:tc>
          <w:tcPr>
            <w:tcW w:w="6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Schaefer</w:t>
            </w:r>
          </w:p>
        </w:tc>
        <w:tc>
          <w:tcPr>
            <w:tcW w:w="75" w:type="dxa"/>
            <w:tcBorders/>
            <w:vAlign w:val="center"/>
          </w:tcPr>
          <w:p>
            <w:pPr>
              <w:pStyle w:val="TableContents"/>
              <w:bidi w:val="0"/>
              <w:spacing w:before="0" w:after="283"/>
              <w:jc w:val="left"/>
              <w:rPr/>
            </w:pPr>
            <w:r>
              <w:rPr/>
              <w:t> </w:t>
            </w:r>
          </w:p>
        </w:tc>
      </w:tr>
      <w:tr>
        <w:trPr/>
        <w:tc>
          <w:tcPr>
            <w:tcW w:w="6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4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center"/>
        <w:rPr>
          <w:caps w:val="false"/>
          <w:smallCaps w:val="false"/>
        </w:rPr>
      </w:pPr>
      <w:r>
        <w:rPr>
          <w:caps w:val="false"/>
          <w:smallCaps w:val="false"/>
        </w:rPr>
        <w:t> </w:t>
      </w:r>
    </w:p>
    <w:tbl>
      <w:tblPr>
        <w:tblW w:w="6122" w:type="dxa"/>
        <w:jc w:val="left"/>
        <w:tblInd w:w="0" w:type="dxa"/>
        <w:tblLayout w:type="fixed"/>
        <w:tblCellMar>
          <w:top w:w="0" w:type="dxa"/>
          <w:left w:w="0" w:type="dxa"/>
          <w:bottom w:w="28" w:type="dxa"/>
          <w:right w:w="0" w:type="dxa"/>
        </w:tblCellMar>
      </w:tblPr>
      <w:tblGrid>
        <w:gridCol w:w="2390"/>
        <w:gridCol w:w="60"/>
        <w:gridCol w:w="83"/>
        <w:gridCol w:w="986"/>
        <w:gridCol w:w="60"/>
        <w:gridCol w:w="60"/>
        <w:gridCol w:w="74"/>
        <w:gridCol w:w="1070"/>
        <w:gridCol w:w="60"/>
        <w:gridCol w:w="60"/>
        <w:gridCol w:w="75"/>
        <w:gridCol w:w="1069"/>
        <w:gridCol w:w="75"/>
      </w:tblGrid>
      <w:tr>
        <w:trPr/>
        <w:tc>
          <w:tcPr>
            <w:tcW w:w="239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Shares to Be</w:t>
              <w:br/>
              <w:t>Purchased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Pre-Funded</w:t>
              <w:br/>
              <w:t>Warrants to</w:t>
              <w:br/>
              <w:t>be Purchased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Common</w:t>
              <w:br/>
              <w:t>Warrants to</w:t>
              <w:br/>
              <w:t>be Purchased</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1,403,859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4,894,668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601,654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2,097,714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2,005,513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6,992,382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Pricing Terms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pursuant to Rule 433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333-291305</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Free Writing Prospectus dated September 9, 2026</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Relating to Preliminary Prospectus Supplement dated 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Centrus Energy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500,000 Shares of Class A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 to Purchase up to 2,005,513 Shares of Class A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Warrants to Purchase up to 6,992,382 Shares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in this pricing term sheet supplements Centrus Energy Corp.’s preliminary prospectus supplement, dated September 9, 2026 (the “Preliminary Prospectus Supplement”), and supersedes the information in the Preliminary Prospectus Supplement to the extent inconsistent with the information in the Preliminary Prospectus Supplement. In all other respects, this pricing term sheet is qualified in its entirety by reference to the Preliminary Prospectus Supplement. Terms used herein but not defined herein shall have the respective meanings as set forth in the Preliminary Prospectus Supplement.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4"/>
        <w:gridCol w:w="8601"/>
      </w:tblGrid>
      <w:tr>
        <w:trPr/>
        <w:tc>
          <w:tcPr>
            <w:tcW w:w="16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w:t>
            </w:r>
          </w:p>
        </w:tc>
        <w:tc>
          <w:tcPr>
            <w:tcW w:w="86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Centrus Energy Corp.</w:t>
            </w:r>
          </w:p>
        </w:tc>
      </w:tr>
      <w:tr>
        <w:trPr/>
        <w:tc>
          <w:tcPr>
            <w:tcW w:w="1604" w:type="dxa"/>
            <w:tcBorders/>
            <w:vAlign w:val="center"/>
          </w:tcPr>
          <w:p>
            <w:pPr>
              <w:pStyle w:val="TableContents"/>
              <w:bidi w:val="0"/>
              <w:spacing w:before="0" w:after="283"/>
              <w:jc w:val="left"/>
              <w:rPr/>
            </w:pPr>
            <w:r>
              <w:rPr/>
              <w:t> </w:t>
            </w:r>
          </w:p>
        </w:tc>
        <w:tc>
          <w:tcPr>
            <w:tcW w:w="8601" w:type="dxa"/>
            <w:tcBorders/>
            <w:vAlign w:val="center"/>
          </w:tcPr>
          <w:p>
            <w:pPr>
              <w:pStyle w:val="TableContents"/>
              <w:bidi w:val="0"/>
              <w:spacing w:before="0" w:after="283"/>
              <w:jc w:val="both"/>
              <w:rPr/>
            </w:pPr>
            <w:r>
              <w:rPr/>
              <w:t> </w:t>
            </w:r>
          </w:p>
        </w:tc>
      </w:tr>
      <w:tr>
        <w:trPr/>
        <w:tc>
          <w:tcPr>
            <w:tcW w:w="16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Offering format:</w:t>
            </w:r>
          </w:p>
        </w:tc>
        <w:tc>
          <w:tcPr>
            <w:tcW w:w="86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Registered</w:t>
            </w:r>
          </w:p>
        </w:tc>
      </w:tr>
      <w:tr>
        <w:trPr/>
        <w:tc>
          <w:tcPr>
            <w:tcW w:w="1604" w:type="dxa"/>
            <w:tcBorders/>
            <w:vAlign w:val="center"/>
          </w:tcPr>
          <w:p>
            <w:pPr>
              <w:pStyle w:val="TableContents"/>
              <w:bidi w:val="0"/>
              <w:spacing w:before="0" w:after="283"/>
              <w:jc w:val="left"/>
              <w:rPr/>
            </w:pPr>
            <w:r>
              <w:rPr/>
              <w:t> </w:t>
            </w:r>
          </w:p>
        </w:tc>
        <w:tc>
          <w:tcPr>
            <w:tcW w:w="8601" w:type="dxa"/>
            <w:tcBorders/>
            <w:vAlign w:val="center"/>
          </w:tcPr>
          <w:p>
            <w:pPr>
              <w:pStyle w:val="TableContents"/>
              <w:bidi w:val="0"/>
              <w:spacing w:before="0" w:after="283"/>
              <w:jc w:val="left"/>
              <w:rPr/>
            </w:pPr>
            <w:r>
              <w:rPr/>
              <w:t> </w:t>
            </w:r>
          </w:p>
        </w:tc>
      </w:tr>
      <w:tr>
        <w:trPr/>
        <w:tc>
          <w:tcPr>
            <w:tcW w:w="16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Ticker / Symbol:</w:t>
            </w:r>
          </w:p>
        </w:tc>
        <w:tc>
          <w:tcPr>
            <w:tcW w:w="86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LEU / NYSE </w:t>
            </w:r>
          </w:p>
        </w:tc>
      </w:tr>
      <w:tr>
        <w:trPr/>
        <w:tc>
          <w:tcPr>
            <w:tcW w:w="1604" w:type="dxa"/>
            <w:tcBorders/>
            <w:vAlign w:val="center"/>
          </w:tcPr>
          <w:p>
            <w:pPr>
              <w:pStyle w:val="TableContents"/>
              <w:bidi w:val="0"/>
              <w:spacing w:before="0" w:after="283"/>
              <w:jc w:val="left"/>
              <w:rPr/>
            </w:pPr>
            <w:r>
              <w:rPr/>
              <w:t> </w:t>
            </w:r>
          </w:p>
        </w:tc>
        <w:tc>
          <w:tcPr>
            <w:tcW w:w="8601" w:type="dxa"/>
            <w:tcBorders/>
            <w:vAlign w:val="center"/>
          </w:tcPr>
          <w:p>
            <w:pPr>
              <w:pStyle w:val="TableContents"/>
              <w:bidi w:val="0"/>
              <w:spacing w:before="0" w:after="283"/>
              <w:jc w:val="left"/>
              <w:rPr/>
            </w:pPr>
            <w:r>
              <w:rPr/>
              <w:t> </w:t>
            </w:r>
          </w:p>
        </w:tc>
      </w:tr>
      <w:tr>
        <w:trPr/>
        <w:tc>
          <w:tcPr>
            <w:tcW w:w="16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transaction size:</w:t>
            </w:r>
          </w:p>
        </w:tc>
        <w:tc>
          <w:tcPr>
            <w:tcW w:w="86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Approximately $500 million of aggregate offering price of the Issuer’s Class A common stock, par value $0.10 per share (“Class A Common Stock”), and/or pre-funded warrants (“Pre-Funded Warrants”) and approximately $500 million aggregate exercise price per series of common warrants (“Common Warrants”) (or approximately $2 billion aggregate exercise price for all series of Common Warrants).</w:t>
            </w:r>
          </w:p>
        </w:tc>
      </w:tr>
      <w:tr>
        <w:trPr/>
        <w:tc>
          <w:tcPr>
            <w:tcW w:w="1604" w:type="dxa"/>
            <w:tcBorders/>
            <w:vAlign w:val="center"/>
          </w:tcPr>
          <w:p>
            <w:pPr>
              <w:pStyle w:val="TableContents"/>
              <w:bidi w:val="0"/>
              <w:spacing w:before="0" w:after="283"/>
              <w:jc w:val="left"/>
              <w:rPr/>
            </w:pPr>
            <w:r>
              <w:rPr/>
              <w:t> </w:t>
            </w:r>
          </w:p>
        </w:tc>
        <w:tc>
          <w:tcPr>
            <w:tcW w:w="8601" w:type="dxa"/>
            <w:tcBorders/>
            <w:vAlign w:val="center"/>
          </w:tcPr>
          <w:p>
            <w:pPr>
              <w:pStyle w:val="TableContents"/>
              <w:bidi w:val="0"/>
              <w:spacing w:before="0" w:after="283"/>
              <w:jc w:val="both"/>
              <w:rPr/>
            </w:pPr>
            <w:r>
              <w:rPr/>
              <w:t> </w:t>
            </w:r>
          </w:p>
        </w:tc>
      </w:tr>
      <w:tr>
        <w:trPr/>
        <w:tc>
          <w:tcPr>
            <w:tcW w:w="16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 Common Stock offered by the Issuer:</w:t>
            </w:r>
          </w:p>
        </w:tc>
        <w:tc>
          <w:tcPr>
            <w:tcW w:w="86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500,000 shares of Class A Common Stock</w:t>
            </w:r>
          </w:p>
        </w:tc>
      </w:tr>
      <w:tr>
        <w:trPr/>
        <w:tc>
          <w:tcPr>
            <w:tcW w:w="1604" w:type="dxa"/>
            <w:tcBorders/>
            <w:vAlign w:val="center"/>
          </w:tcPr>
          <w:p>
            <w:pPr>
              <w:pStyle w:val="TableContents"/>
              <w:bidi w:val="0"/>
              <w:spacing w:before="0" w:after="283"/>
              <w:jc w:val="left"/>
              <w:rPr/>
            </w:pPr>
            <w:r>
              <w:rPr/>
              <w:t> </w:t>
            </w:r>
          </w:p>
        </w:tc>
        <w:tc>
          <w:tcPr>
            <w:tcW w:w="8601" w:type="dxa"/>
            <w:tcBorders/>
            <w:vAlign w:val="center"/>
          </w:tcPr>
          <w:p>
            <w:pPr>
              <w:pStyle w:val="TableContents"/>
              <w:bidi w:val="0"/>
              <w:spacing w:before="0" w:after="283"/>
              <w:jc w:val="left"/>
              <w:rPr/>
            </w:pPr>
            <w:r>
              <w:rPr/>
              <w:t> </w:t>
            </w:r>
          </w:p>
        </w:tc>
      </w:tr>
      <w:tr>
        <w:trPr/>
        <w:tc>
          <w:tcPr>
            <w:tcW w:w="160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Pre-Funded Warrants offered by the Issuer:</w:t>
            </w:r>
          </w:p>
          <w:p>
            <w:pPr>
              <w:pStyle w:val="TableContents"/>
              <w:bidi w:val="0"/>
              <w:spacing w:before="0" w:after="0"/>
              <w:ind w:left="0" w:right="0" w:hanging="0"/>
              <w:jc w:val="left"/>
              <w:rPr>
                <w:caps w:val="false"/>
                <w:smallCaps w:val="false"/>
              </w:rPr>
            </w:pPr>
            <w:r>
              <w:rPr>
                <w:caps w:val="false"/>
                <w:smallCaps w:val="false"/>
              </w:rPr>
              <w:t> </w:t>
            </w:r>
          </w:p>
        </w:tc>
        <w:tc>
          <w:tcPr>
            <w:tcW w:w="86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Pre-Funded Warrants to purchase up to 2,005,513 shares of Class A Common Stock. Each Pre-Funded Warrant will have a purchase price of $199.54 per share and will be immediately exercisable from the date of issuance at a nominal exercise price of $0.10 per share until the date that is the 25-year anniversary of the date of issuance.</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47"/>
        <w:gridCol w:w="9058"/>
      </w:tblGrid>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Warrants offered by the Issuer:</w:t>
            </w:r>
          </w:p>
        </w:tc>
        <w:tc>
          <w:tcPr>
            <w:tcW w:w="9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Common Warrants will be issued in four series: Series A, Series B, Series C and Series D. Each series of Common Warrants will initially entitle the holder to purchase up to 2,203,978, 1,836,648, 1,574,270 and 1,377,486 shares of Class A Common Stock, respectively, with each series having an aggregate exercise price of approximately $500 million. The exercise price per share for each series will equal $226.8625, $272.2350, $317.6075 and $362.9800, respectively. Each series will expire in two equal tranches. The Common Warrants will be immediately exercisable from the date of issuance until the expiration date of the applicable tranche, as illustrated in the tables below.</w:t>
            </w:r>
          </w:p>
        </w:tc>
      </w:tr>
    </w:tbl>
    <w:p>
      <w:pPr>
        <w:pStyle w:val="TextBody"/>
        <w:bidi w:val="0"/>
        <w:spacing w:before="0" w:after="283"/>
        <w:jc w:val="left"/>
        <w:rPr/>
      </w:pPr>
      <w:r>
        <w:rPr/>
        <w:t> </w:t>
      </w:r>
    </w:p>
    <w:tbl>
      <w:tblPr>
        <w:tblW w:w="7090" w:type="dxa"/>
        <w:jc w:val="left"/>
        <w:tblInd w:w="-10" w:type="dxa"/>
        <w:tblLayout w:type="fixed"/>
        <w:tblCellMar>
          <w:top w:w="28" w:type="dxa"/>
          <w:left w:w="108" w:type="dxa"/>
          <w:bottom w:w="0" w:type="dxa"/>
          <w:right w:w="0" w:type="dxa"/>
        </w:tblCellMar>
      </w:tblPr>
      <w:tblGrid>
        <w:gridCol w:w="75"/>
        <w:gridCol w:w="5300"/>
        <w:gridCol w:w="1640"/>
        <w:gridCol w:w="75"/>
      </w:tblGrid>
      <w:tr>
        <w:trPr/>
        <w:tc>
          <w:tcPr>
            <w:tcW w:w="75" w:type="dxa"/>
            <w:tcBorders>
              <w:top w:val="single" w:sz="8" w:space="0" w:color="000000"/>
              <w:left w:val="single" w:sz="8" w:space="0" w:color="000000"/>
            </w:tcBorders>
            <w:vAlign w:val="center"/>
          </w:tcPr>
          <w:p>
            <w:pPr>
              <w:pStyle w:val="TableContents"/>
              <w:bidi w:val="0"/>
              <w:spacing w:before="0" w:after="283"/>
              <w:jc w:val="left"/>
              <w:rPr/>
            </w:pPr>
            <w:r>
              <w:rPr/>
              <w:t> </w:t>
            </w:r>
          </w:p>
        </w:tc>
        <w:tc>
          <w:tcPr>
            <w:tcW w:w="5300"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left"/>
              <w:rPr/>
            </w:pPr>
            <w:r>
              <w:rPr/>
              <w:t> </w:t>
            </w:r>
          </w:p>
        </w:tc>
        <w:tc>
          <w:tcPr>
            <w:tcW w:w="1640"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center"/>
              <w:rPr/>
            </w:pPr>
            <w:r>
              <w:rPr/>
              <w:t> </w:t>
            </w:r>
          </w:p>
        </w:tc>
        <w:tc>
          <w:tcPr>
            <w:tcW w:w="75" w:type="dxa"/>
            <w:tcBorders>
              <w:top w:val="single" w:sz="8" w:space="0" w:color="000000"/>
              <w:right w:val="single" w:sz="8" w:space="0" w:color="000000"/>
            </w:tcBorders>
            <w:tcMar>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530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Warrant Series A</w:t>
            </w:r>
          </w:p>
        </w:tc>
        <w:tc>
          <w:tcPr>
            <w:tcW w:w="1640"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left"/>
              <w:rPr/>
            </w:pPr>
            <w:r>
              <w:rPr/>
              <w:t> </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5300" w:type="dxa"/>
            <w:tcBorders>
              <w:bottom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Exercise Price:</w:t>
            </w:r>
          </w:p>
        </w:tc>
        <w:tc>
          <w:tcPr>
            <w:tcW w:w="164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$226.8625</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5300" w:type="dxa"/>
            <w:tcBorders>
              <w:bottom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Initial number of underlying shares of Class A Common Stock:</w:t>
            </w:r>
          </w:p>
        </w:tc>
        <w:tc>
          <w:tcPr>
            <w:tcW w:w="164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2,203,978</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5300" w:type="dxa"/>
            <w:tcBorders/>
            <w:tcMar>
              <w:top w:w="0" w:type="dxa"/>
              <w:left w:w="0" w:type="dxa"/>
            </w:tcMar>
            <w:vAlign w:val="center"/>
          </w:tcPr>
          <w:p>
            <w:pPr>
              <w:pStyle w:val="TableContents"/>
              <w:bidi w:val="0"/>
              <w:spacing w:before="0" w:after="283"/>
              <w:jc w:val="left"/>
              <w:rPr/>
            </w:pPr>
            <w:r>
              <w:rPr/>
              <w:t> </w:t>
            </w:r>
          </w:p>
        </w:tc>
        <w:tc>
          <w:tcPr>
            <w:tcW w:w="1640" w:type="dxa"/>
            <w:tcBorders/>
            <w:tcMar>
              <w:top w:w="0" w:type="dxa"/>
              <w:left w:w="0" w:type="dxa"/>
            </w:tcMar>
            <w:vAlign w:val="center"/>
          </w:tcPr>
          <w:p>
            <w:pPr>
              <w:pStyle w:val="TableContents"/>
              <w:bidi w:val="0"/>
              <w:spacing w:before="0" w:after="283"/>
              <w:jc w:val="left"/>
              <w:rPr/>
            </w:pPr>
            <w:r>
              <w:rPr/>
              <w:t> </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5300" w:type="dxa"/>
            <w:tcBorders>
              <w:bottom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Expiration:</w:t>
            </w:r>
          </w:p>
        </w:tc>
        <w:tc>
          <w:tcPr>
            <w:tcW w:w="1640"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tcMar>
              <w:top w:w="0" w:type="dxa"/>
              <w:right w:w="108" w:type="dxa"/>
            </w:tcMar>
            <w:vAlign w:val="center"/>
          </w:tcPr>
          <w:p>
            <w:pPr>
              <w:pStyle w:val="TableContents"/>
              <w:bidi w:val="0"/>
              <w:spacing w:before="0" w:after="283"/>
              <w:jc w:val="left"/>
              <w:rPr/>
            </w:pPr>
            <w:r>
              <w:rPr/>
              <w:t> </w:t>
            </w:r>
          </w:p>
        </w:tc>
        <w:tc>
          <w:tcPr>
            <w:tcW w:w="5300" w:type="dxa"/>
            <w:tcBorders/>
            <w:tcMar>
              <w:top w:w="0" w:type="dxa"/>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Tranche 1</w:t>
            </w:r>
          </w:p>
        </w:tc>
        <w:tc>
          <w:tcPr>
            <w:tcW w:w="1640" w:type="dxa"/>
            <w:tcBorders>
              <w:right w:val="single" w:sz="8" w:space="0" w:color="000000"/>
            </w:tcBorders>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10, 2028</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tcMar>
              <w:top w:w="0" w:type="dxa"/>
              <w:right w:w="108" w:type="dxa"/>
            </w:tcMar>
            <w:vAlign w:val="center"/>
          </w:tcPr>
          <w:p>
            <w:pPr>
              <w:pStyle w:val="TableContents"/>
              <w:bidi w:val="0"/>
              <w:spacing w:before="0" w:after="283"/>
              <w:jc w:val="left"/>
              <w:rPr/>
            </w:pPr>
            <w:r>
              <w:rPr/>
              <w:t> </w:t>
            </w:r>
          </w:p>
        </w:tc>
        <w:tc>
          <w:tcPr>
            <w:tcW w:w="5300" w:type="dxa"/>
            <w:tcBorders>
              <w:bottom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Tranche 2</w:t>
            </w:r>
          </w:p>
        </w:tc>
        <w:tc>
          <w:tcPr>
            <w:tcW w:w="1640"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12, 2028</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5300" w:type="dxa"/>
            <w:tcBorders/>
            <w:tcMar>
              <w:top w:w="0" w:type="dxa"/>
              <w:left w:w="0" w:type="dxa"/>
            </w:tcMar>
            <w:vAlign w:val="center"/>
          </w:tcPr>
          <w:p>
            <w:pPr>
              <w:pStyle w:val="TableContents"/>
              <w:bidi w:val="0"/>
              <w:spacing w:before="0" w:after="283"/>
              <w:jc w:val="left"/>
              <w:rPr/>
            </w:pPr>
            <w:r>
              <w:rPr/>
              <w:t> </w:t>
            </w:r>
          </w:p>
        </w:tc>
        <w:tc>
          <w:tcPr>
            <w:tcW w:w="1640" w:type="dxa"/>
            <w:tcBorders/>
            <w:tcMar>
              <w:top w:w="0" w:type="dxa"/>
              <w:left w:w="0" w:type="dxa"/>
            </w:tcMar>
            <w:vAlign w:val="center"/>
          </w:tcPr>
          <w:p>
            <w:pPr>
              <w:pStyle w:val="TableContents"/>
              <w:bidi w:val="0"/>
              <w:spacing w:before="0" w:after="283"/>
              <w:jc w:val="left"/>
              <w:rPr/>
            </w:pPr>
            <w:r>
              <w:rPr/>
              <w:t> </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5300"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Warrant Series B</w:t>
            </w:r>
          </w:p>
        </w:tc>
        <w:tc>
          <w:tcPr>
            <w:tcW w:w="1640" w:type="dxa"/>
            <w:tcBorders>
              <w:top w:val="single" w:sz="8" w:space="0" w:color="000000"/>
              <w:bottom w:val="single" w:sz="8" w:space="0" w:color="000000"/>
              <w:right w:val="single" w:sz="8" w:space="0" w:color="000000"/>
            </w:tcBorders>
            <w:tcMar>
              <w:left w:w="0" w:type="dxa"/>
              <w:bottom w:w="28" w:type="dxa"/>
              <w:right w:w="108" w:type="dxa"/>
            </w:tcMar>
            <w:vAlign w:val="center"/>
          </w:tcPr>
          <w:p>
            <w:pPr>
              <w:pStyle w:val="TableContents"/>
              <w:bidi w:val="0"/>
              <w:spacing w:before="0" w:after="283"/>
              <w:jc w:val="left"/>
              <w:rPr/>
            </w:pPr>
            <w:r>
              <w:rPr/>
              <w:t> </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5300" w:type="dxa"/>
            <w:tcBorders>
              <w:bottom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Exercise Price:</w:t>
            </w:r>
          </w:p>
        </w:tc>
        <w:tc>
          <w:tcPr>
            <w:tcW w:w="164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$272.2350</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5300" w:type="dxa"/>
            <w:tcBorders>
              <w:bottom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Initial number of underlying shares of Class A Common Stock:</w:t>
            </w:r>
          </w:p>
        </w:tc>
        <w:tc>
          <w:tcPr>
            <w:tcW w:w="164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1,836,648</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5300" w:type="dxa"/>
            <w:tcBorders/>
            <w:tcMar>
              <w:top w:w="0" w:type="dxa"/>
              <w:left w:w="0" w:type="dxa"/>
            </w:tcMar>
            <w:vAlign w:val="center"/>
          </w:tcPr>
          <w:p>
            <w:pPr>
              <w:pStyle w:val="TableContents"/>
              <w:bidi w:val="0"/>
              <w:spacing w:before="0" w:after="283"/>
              <w:jc w:val="left"/>
              <w:rPr/>
            </w:pPr>
            <w:r>
              <w:rPr/>
              <w:t> </w:t>
            </w:r>
          </w:p>
        </w:tc>
        <w:tc>
          <w:tcPr>
            <w:tcW w:w="1640" w:type="dxa"/>
            <w:tcBorders/>
            <w:tcMar>
              <w:top w:w="0" w:type="dxa"/>
              <w:left w:w="0" w:type="dxa"/>
            </w:tcMar>
            <w:vAlign w:val="center"/>
          </w:tcPr>
          <w:p>
            <w:pPr>
              <w:pStyle w:val="TableContents"/>
              <w:bidi w:val="0"/>
              <w:spacing w:before="0" w:after="283"/>
              <w:jc w:val="left"/>
              <w:rPr/>
            </w:pPr>
            <w:r>
              <w:rPr/>
              <w:t> </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5300" w:type="dxa"/>
            <w:tcBorders>
              <w:bottom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Expiration:</w:t>
            </w:r>
          </w:p>
        </w:tc>
        <w:tc>
          <w:tcPr>
            <w:tcW w:w="1640"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tcMar>
              <w:top w:w="0" w:type="dxa"/>
              <w:right w:w="108" w:type="dxa"/>
            </w:tcMar>
            <w:vAlign w:val="center"/>
          </w:tcPr>
          <w:p>
            <w:pPr>
              <w:pStyle w:val="TableContents"/>
              <w:bidi w:val="0"/>
              <w:spacing w:before="0" w:after="283"/>
              <w:jc w:val="left"/>
              <w:rPr/>
            </w:pPr>
            <w:r>
              <w:rPr/>
              <w:t> </w:t>
            </w:r>
          </w:p>
        </w:tc>
        <w:tc>
          <w:tcPr>
            <w:tcW w:w="5300" w:type="dxa"/>
            <w:tcBorders/>
            <w:tcMar>
              <w:top w:w="0" w:type="dxa"/>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Tranche 1</w:t>
            </w:r>
          </w:p>
        </w:tc>
        <w:tc>
          <w:tcPr>
            <w:tcW w:w="1640" w:type="dxa"/>
            <w:tcBorders>
              <w:right w:val="single" w:sz="8" w:space="0" w:color="000000"/>
            </w:tcBorders>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10, 2029</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tcMar>
              <w:top w:w="0" w:type="dxa"/>
              <w:right w:w="108" w:type="dxa"/>
            </w:tcMar>
            <w:vAlign w:val="center"/>
          </w:tcPr>
          <w:p>
            <w:pPr>
              <w:pStyle w:val="TableContents"/>
              <w:bidi w:val="0"/>
              <w:spacing w:before="0" w:after="283"/>
              <w:jc w:val="left"/>
              <w:rPr/>
            </w:pPr>
            <w:r>
              <w:rPr/>
              <w:t> </w:t>
            </w:r>
          </w:p>
        </w:tc>
        <w:tc>
          <w:tcPr>
            <w:tcW w:w="5300" w:type="dxa"/>
            <w:tcBorders>
              <w:bottom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Tranche 2</w:t>
            </w:r>
          </w:p>
        </w:tc>
        <w:tc>
          <w:tcPr>
            <w:tcW w:w="1640"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12, 2029</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5300" w:type="dxa"/>
            <w:tcBorders/>
            <w:tcMar>
              <w:top w:w="0" w:type="dxa"/>
              <w:left w:w="0" w:type="dxa"/>
            </w:tcMar>
            <w:vAlign w:val="center"/>
          </w:tcPr>
          <w:p>
            <w:pPr>
              <w:pStyle w:val="TableContents"/>
              <w:bidi w:val="0"/>
              <w:spacing w:before="0" w:after="283"/>
              <w:jc w:val="left"/>
              <w:rPr/>
            </w:pPr>
            <w:r>
              <w:rPr/>
              <w:t> </w:t>
            </w:r>
          </w:p>
        </w:tc>
        <w:tc>
          <w:tcPr>
            <w:tcW w:w="1640" w:type="dxa"/>
            <w:tcBorders/>
            <w:tcMar>
              <w:top w:w="0" w:type="dxa"/>
              <w:left w:w="0" w:type="dxa"/>
            </w:tcMar>
            <w:vAlign w:val="center"/>
          </w:tcPr>
          <w:p>
            <w:pPr>
              <w:pStyle w:val="TableContents"/>
              <w:bidi w:val="0"/>
              <w:spacing w:before="0" w:after="283"/>
              <w:jc w:val="left"/>
              <w:rPr/>
            </w:pPr>
            <w:r>
              <w:rPr/>
              <w:t> </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5300"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Warrant Series C</w:t>
            </w:r>
          </w:p>
        </w:tc>
        <w:tc>
          <w:tcPr>
            <w:tcW w:w="1640" w:type="dxa"/>
            <w:tcBorders>
              <w:top w:val="single" w:sz="8" w:space="0" w:color="000000"/>
              <w:bottom w:val="single" w:sz="8" w:space="0" w:color="000000"/>
              <w:right w:val="single" w:sz="8" w:space="0" w:color="000000"/>
            </w:tcBorders>
            <w:tcMar>
              <w:left w:w="0" w:type="dxa"/>
              <w:bottom w:w="28" w:type="dxa"/>
              <w:right w:w="108" w:type="dxa"/>
            </w:tcMar>
            <w:vAlign w:val="center"/>
          </w:tcPr>
          <w:p>
            <w:pPr>
              <w:pStyle w:val="TableContents"/>
              <w:bidi w:val="0"/>
              <w:spacing w:before="0" w:after="283"/>
              <w:jc w:val="left"/>
              <w:rPr/>
            </w:pPr>
            <w:r>
              <w:rPr/>
              <w:t> </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5300" w:type="dxa"/>
            <w:tcBorders>
              <w:bottom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Exercise Price:</w:t>
            </w:r>
          </w:p>
        </w:tc>
        <w:tc>
          <w:tcPr>
            <w:tcW w:w="164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$317.6075</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5300" w:type="dxa"/>
            <w:tcBorders>
              <w:bottom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Initial number of underlying shares of Class A Common Stock:</w:t>
            </w:r>
          </w:p>
        </w:tc>
        <w:tc>
          <w:tcPr>
            <w:tcW w:w="164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1,574,270</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5300" w:type="dxa"/>
            <w:tcBorders/>
            <w:tcMar>
              <w:top w:w="0" w:type="dxa"/>
              <w:left w:w="0" w:type="dxa"/>
            </w:tcMar>
            <w:vAlign w:val="center"/>
          </w:tcPr>
          <w:p>
            <w:pPr>
              <w:pStyle w:val="TableContents"/>
              <w:bidi w:val="0"/>
              <w:spacing w:before="0" w:after="283"/>
              <w:jc w:val="left"/>
              <w:rPr/>
            </w:pPr>
            <w:r>
              <w:rPr/>
              <w:t> </w:t>
            </w:r>
          </w:p>
        </w:tc>
        <w:tc>
          <w:tcPr>
            <w:tcW w:w="1640" w:type="dxa"/>
            <w:tcBorders/>
            <w:tcMar>
              <w:top w:w="0" w:type="dxa"/>
              <w:left w:w="0" w:type="dxa"/>
            </w:tcMar>
            <w:vAlign w:val="center"/>
          </w:tcPr>
          <w:p>
            <w:pPr>
              <w:pStyle w:val="TableContents"/>
              <w:bidi w:val="0"/>
              <w:spacing w:before="0" w:after="283"/>
              <w:jc w:val="left"/>
              <w:rPr/>
            </w:pPr>
            <w:r>
              <w:rPr/>
              <w:t> </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5300" w:type="dxa"/>
            <w:tcBorders>
              <w:bottom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Expiration:</w:t>
            </w:r>
          </w:p>
        </w:tc>
        <w:tc>
          <w:tcPr>
            <w:tcW w:w="1640"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5300"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Tranche 1</w:t>
            </w:r>
          </w:p>
        </w:tc>
        <w:tc>
          <w:tcPr>
            <w:tcW w:w="1640" w:type="dxa"/>
            <w:tcBorders>
              <w:right w:val="single" w:sz="8" w:space="0" w:color="000000"/>
            </w:tcBorders>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10, 2030</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530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Tranche 2</w:t>
            </w:r>
          </w:p>
        </w:tc>
        <w:tc>
          <w:tcPr>
            <w:tcW w:w="1640"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12, 2030</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5300" w:type="dxa"/>
            <w:tcBorders/>
            <w:tcMar>
              <w:top w:w="0" w:type="dxa"/>
              <w:left w:w="0" w:type="dxa"/>
            </w:tcMar>
            <w:vAlign w:val="center"/>
          </w:tcPr>
          <w:p>
            <w:pPr>
              <w:pStyle w:val="TableContents"/>
              <w:bidi w:val="0"/>
              <w:spacing w:before="0" w:after="283"/>
              <w:jc w:val="left"/>
              <w:rPr/>
            </w:pPr>
            <w:r>
              <w:rPr/>
              <w:t> </w:t>
            </w:r>
          </w:p>
        </w:tc>
        <w:tc>
          <w:tcPr>
            <w:tcW w:w="1640" w:type="dxa"/>
            <w:tcBorders/>
            <w:tcMar>
              <w:top w:w="0" w:type="dxa"/>
              <w:left w:w="0" w:type="dxa"/>
            </w:tcMar>
            <w:vAlign w:val="center"/>
          </w:tcPr>
          <w:p>
            <w:pPr>
              <w:pStyle w:val="TableContents"/>
              <w:bidi w:val="0"/>
              <w:spacing w:before="0" w:after="283"/>
              <w:jc w:val="left"/>
              <w:rPr/>
            </w:pPr>
            <w:r>
              <w:rPr/>
              <w:t> </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5300"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Warrant Series D</w:t>
            </w:r>
          </w:p>
        </w:tc>
        <w:tc>
          <w:tcPr>
            <w:tcW w:w="1640" w:type="dxa"/>
            <w:tcBorders>
              <w:top w:val="single" w:sz="8" w:space="0" w:color="000000"/>
              <w:bottom w:val="single" w:sz="8" w:space="0" w:color="000000"/>
              <w:right w:val="single" w:sz="8" w:space="0" w:color="000000"/>
            </w:tcBorders>
            <w:tcMar>
              <w:left w:w="0" w:type="dxa"/>
              <w:bottom w:w="28" w:type="dxa"/>
              <w:right w:w="108" w:type="dxa"/>
            </w:tcMar>
            <w:vAlign w:val="center"/>
          </w:tcPr>
          <w:p>
            <w:pPr>
              <w:pStyle w:val="TableContents"/>
              <w:bidi w:val="0"/>
              <w:spacing w:before="0" w:after="283"/>
              <w:jc w:val="left"/>
              <w:rPr/>
            </w:pPr>
            <w:r>
              <w:rPr/>
              <w:t> </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5300" w:type="dxa"/>
            <w:tcBorders>
              <w:bottom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Exercise Price:</w:t>
            </w:r>
          </w:p>
        </w:tc>
        <w:tc>
          <w:tcPr>
            <w:tcW w:w="164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$362.9800</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5300" w:type="dxa"/>
            <w:tcBorders>
              <w:bottom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Initial number of underlying shares of Class A Common Stock:</w:t>
            </w:r>
          </w:p>
        </w:tc>
        <w:tc>
          <w:tcPr>
            <w:tcW w:w="164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1,377,486</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5300" w:type="dxa"/>
            <w:tcBorders/>
            <w:tcMar>
              <w:top w:w="0" w:type="dxa"/>
              <w:left w:w="0" w:type="dxa"/>
            </w:tcMar>
            <w:vAlign w:val="center"/>
          </w:tcPr>
          <w:p>
            <w:pPr>
              <w:pStyle w:val="TableContents"/>
              <w:bidi w:val="0"/>
              <w:spacing w:before="0" w:after="283"/>
              <w:jc w:val="left"/>
              <w:rPr/>
            </w:pPr>
            <w:r>
              <w:rPr/>
              <w:t> </w:t>
            </w:r>
          </w:p>
        </w:tc>
        <w:tc>
          <w:tcPr>
            <w:tcW w:w="1640" w:type="dxa"/>
            <w:tcBorders/>
            <w:tcMar>
              <w:top w:w="0" w:type="dxa"/>
              <w:left w:w="0" w:type="dxa"/>
            </w:tcMar>
            <w:vAlign w:val="center"/>
          </w:tcPr>
          <w:p>
            <w:pPr>
              <w:pStyle w:val="TableContents"/>
              <w:bidi w:val="0"/>
              <w:spacing w:before="0" w:after="283"/>
              <w:jc w:val="left"/>
              <w:rPr/>
            </w:pPr>
            <w:r>
              <w:rPr/>
              <w:t> </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5300" w:type="dxa"/>
            <w:tcBorders>
              <w:bottom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Expiration:</w:t>
            </w:r>
          </w:p>
        </w:tc>
        <w:tc>
          <w:tcPr>
            <w:tcW w:w="1640"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5300"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Tranche 1</w:t>
            </w:r>
          </w:p>
        </w:tc>
        <w:tc>
          <w:tcPr>
            <w:tcW w:w="1640" w:type="dxa"/>
            <w:tcBorders>
              <w:right w:val="single" w:sz="8" w:space="0" w:color="000000"/>
            </w:tcBorders>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10, 2031</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530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Tranche 2</w:t>
            </w:r>
          </w:p>
        </w:tc>
        <w:tc>
          <w:tcPr>
            <w:tcW w:w="1640"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12, 2031</w:t>
            </w:r>
          </w:p>
        </w:tc>
        <w:tc>
          <w:tcPr>
            <w:tcW w:w="75"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pPr>
            <w:r>
              <w:rPr/>
              <w:t> </w:t>
            </w:r>
          </w:p>
        </w:tc>
        <w:tc>
          <w:tcPr>
            <w:tcW w:w="5300"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640"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75"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89"/>
        <w:gridCol w:w="8316"/>
      </w:tblGrid>
      <w:tr>
        <w:trPr/>
        <w:tc>
          <w:tcPr>
            <w:tcW w:w="188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offering price for Class A Common Stock:</w:t>
            </w:r>
          </w:p>
        </w:tc>
        <w:tc>
          <w:tcPr>
            <w:tcW w:w="8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$199.64 per share</w:t>
            </w:r>
          </w:p>
        </w:tc>
      </w:tr>
      <w:tr>
        <w:trPr/>
        <w:tc>
          <w:tcPr>
            <w:tcW w:w="1889" w:type="dxa"/>
            <w:tcBorders/>
            <w:vAlign w:val="center"/>
          </w:tcPr>
          <w:p>
            <w:pPr>
              <w:pStyle w:val="TableContents"/>
              <w:bidi w:val="0"/>
              <w:spacing w:before="0" w:after="283"/>
              <w:jc w:val="left"/>
              <w:rPr/>
            </w:pPr>
            <w:r>
              <w:rPr/>
              <w:t> </w:t>
            </w:r>
          </w:p>
        </w:tc>
        <w:tc>
          <w:tcPr>
            <w:tcW w:w="8316" w:type="dxa"/>
            <w:tcBorders/>
            <w:vAlign w:val="center"/>
          </w:tcPr>
          <w:p>
            <w:pPr>
              <w:pStyle w:val="TableContents"/>
              <w:bidi w:val="0"/>
              <w:spacing w:before="0" w:after="283"/>
              <w:jc w:val="left"/>
              <w:rPr/>
            </w:pPr>
            <w:r>
              <w:rPr/>
              <w:t> </w:t>
            </w:r>
          </w:p>
        </w:tc>
      </w:tr>
      <w:tr>
        <w:trPr/>
        <w:tc>
          <w:tcPr>
            <w:tcW w:w="1889" w:type="dxa"/>
            <w:tcBorders/>
            <w:vAlign w:val="center"/>
          </w:tcPr>
          <w:p>
            <w:pPr>
              <w:pStyle w:val="TableContents"/>
              <w:bidi w:val="0"/>
              <w:spacing w:before="0" w:after="283"/>
              <w:jc w:val="left"/>
              <w:rPr>
                <w:sz w:val="20"/>
              </w:rPr>
            </w:pPr>
            <w:r>
              <w:rPr>
                <w:sz w:val="20"/>
              </w:rPr>
              <w:t>Public offering price for Pre-Funded Warrant:</w:t>
            </w:r>
          </w:p>
        </w:tc>
        <w:tc>
          <w:tcPr>
            <w:tcW w:w="8316" w:type="dxa"/>
            <w:tcBorders/>
            <w:vAlign w:val="center"/>
          </w:tcPr>
          <w:p>
            <w:pPr>
              <w:pStyle w:val="TableContents"/>
              <w:bidi w:val="0"/>
              <w:spacing w:before="0" w:after="283"/>
              <w:jc w:val="both"/>
              <w:rPr>
                <w:sz w:val="20"/>
              </w:rPr>
            </w:pPr>
            <w:r>
              <w:rPr>
                <w:sz w:val="20"/>
              </w:rPr>
              <w:t>$199.54 per pre-funded warrant</w:t>
            </w:r>
          </w:p>
        </w:tc>
      </w:tr>
      <w:tr>
        <w:trPr/>
        <w:tc>
          <w:tcPr>
            <w:tcW w:w="1889" w:type="dxa"/>
            <w:tcBorders/>
            <w:vAlign w:val="center"/>
          </w:tcPr>
          <w:p>
            <w:pPr>
              <w:pStyle w:val="TableContents"/>
              <w:bidi w:val="0"/>
              <w:spacing w:before="0" w:after="283"/>
              <w:jc w:val="left"/>
              <w:rPr/>
            </w:pPr>
            <w:r>
              <w:rPr/>
              <w:t> </w:t>
            </w:r>
          </w:p>
        </w:tc>
        <w:tc>
          <w:tcPr>
            <w:tcW w:w="8316" w:type="dxa"/>
            <w:tcBorders/>
            <w:vAlign w:val="center"/>
          </w:tcPr>
          <w:p>
            <w:pPr>
              <w:pStyle w:val="TableContents"/>
              <w:bidi w:val="0"/>
              <w:spacing w:before="0" w:after="283"/>
              <w:jc w:val="both"/>
              <w:rPr/>
            </w:pPr>
            <w:r>
              <w:rPr/>
              <w:t> </w:t>
            </w:r>
          </w:p>
        </w:tc>
      </w:tr>
      <w:tr>
        <w:trPr/>
        <w:tc>
          <w:tcPr>
            <w:tcW w:w="18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No Separate Consideration for Common Warrants: </w:t>
            </w:r>
          </w:p>
        </w:tc>
        <w:tc>
          <w:tcPr>
            <w:tcW w:w="83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Investors purchasing shares of Class A Common Stock or Pre-Funded Warrants will also receive a pro rata allocation of Common Warrants based on the number of shares of Class A Common Stock or Pre-Funded Warrants purchased by that investor. The Common Warrants are being issued as part of the overall offering of Class A Common Stock and Pre-Funded Warrants, and not for any separate additional consideration.</w:t>
            </w:r>
          </w:p>
        </w:tc>
      </w:tr>
      <w:tr>
        <w:trPr/>
        <w:tc>
          <w:tcPr>
            <w:tcW w:w="1889" w:type="dxa"/>
            <w:tcBorders/>
            <w:vAlign w:val="center"/>
          </w:tcPr>
          <w:p>
            <w:pPr>
              <w:pStyle w:val="TableContents"/>
              <w:bidi w:val="0"/>
              <w:spacing w:before="0" w:after="283"/>
              <w:jc w:val="left"/>
              <w:rPr/>
            </w:pPr>
            <w:r>
              <w:rPr/>
              <w:t> </w:t>
            </w:r>
          </w:p>
        </w:tc>
        <w:tc>
          <w:tcPr>
            <w:tcW w:w="8316" w:type="dxa"/>
            <w:tcBorders/>
            <w:vAlign w:val="center"/>
          </w:tcPr>
          <w:p>
            <w:pPr>
              <w:pStyle w:val="TableContents"/>
              <w:bidi w:val="0"/>
              <w:spacing w:before="0" w:after="283"/>
              <w:jc w:val="both"/>
              <w:rPr/>
            </w:pPr>
            <w:r>
              <w:rPr/>
              <w:t> </w:t>
            </w:r>
          </w:p>
        </w:tc>
      </w:tr>
      <w:tr>
        <w:trPr/>
        <w:tc>
          <w:tcPr>
            <w:tcW w:w="18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Date:</w:t>
            </w:r>
          </w:p>
        </w:tc>
        <w:tc>
          <w:tcPr>
            <w:tcW w:w="83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September 10, 2026</w:t>
            </w:r>
          </w:p>
        </w:tc>
      </w:tr>
      <w:tr>
        <w:trPr/>
        <w:tc>
          <w:tcPr>
            <w:tcW w:w="1889" w:type="dxa"/>
            <w:tcBorders/>
            <w:vAlign w:val="center"/>
          </w:tcPr>
          <w:p>
            <w:pPr>
              <w:pStyle w:val="TableContents"/>
              <w:bidi w:val="0"/>
              <w:spacing w:before="0" w:after="283"/>
              <w:jc w:val="left"/>
              <w:rPr/>
            </w:pPr>
            <w:r>
              <w:rPr/>
              <w:t> </w:t>
            </w:r>
          </w:p>
        </w:tc>
        <w:tc>
          <w:tcPr>
            <w:tcW w:w="8316" w:type="dxa"/>
            <w:tcBorders/>
            <w:vAlign w:val="center"/>
          </w:tcPr>
          <w:p>
            <w:pPr>
              <w:pStyle w:val="TableContents"/>
              <w:bidi w:val="0"/>
              <w:spacing w:before="0" w:after="283"/>
              <w:jc w:val="both"/>
              <w:rPr/>
            </w:pPr>
            <w:r>
              <w:rPr/>
              <w:t> </w:t>
            </w:r>
          </w:p>
        </w:tc>
      </w:tr>
      <w:tr>
        <w:trPr/>
        <w:tc>
          <w:tcPr>
            <w:tcW w:w="18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Date:</w:t>
            </w:r>
          </w:p>
        </w:tc>
        <w:tc>
          <w:tcPr>
            <w:tcW w:w="8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11, 2026</w:t>
            </w:r>
          </w:p>
        </w:tc>
      </w:tr>
      <w:tr>
        <w:trPr/>
        <w:tc>
          <w:tcPr>
            <w:tcW w:w="1889" w:type="dxa"/>
            <w:tcBorders/>
            <w:vAlign w:val="center"/>
          </w:tcPr>
          <w:p>
            <w:pPr>
              <w:pStyle w:val="TableContents"/>
              <w:bidi w:val="0"/>
              <w:spacing w:before="0" w:after="283"/>
              <w:jc w:val="left"/>
              <w:rPr/>
            </w:pPr>
            <w:r>
              <w:rPr/>
              <w:t> </w:t>
            </w:r>
          </w:p>
        </w:tc>
        <w:tc>
          <w:tcPr>
            <w:tcW w:w="8316" w:type="dxa"/>
            <w:tcBorders/>
            <w:vAlign w:val="center"/>
          </w:tcPr>
          <w:p>
            <w:pPr>
              <w:pStyle w:val="TableContents"/>
              <w:bidi w:val="0"/>
              <w:spacing w:before="0" w:after="283"/>
              <w:jc w:val="left"/>
              <w:rPr/>
            </w:pPr>
            <w:r>
              <w:rPr/>
              <w:t> </w:t>
            </w:r>
          </w:p>
        </w:tc>
      </w:tr>
      <w:tr>
        <w:trPr/>
        <w:tc>
          <w:tcPr>
            <w:tcW w:w="18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Book-Running Managers:</w:t>
            </w:r>
          </w:p>
        </w:tc>
        <w:tc>
          <w:tcPr>
            <w:tcW w:w="8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a registration statement (including a prospectus) with the SEC for the offering to which this communication relates. Before you invest, you should read the prospectus in the registration statement, any free writing prospectus, as well as the other documents the Company has filed with the SEC for more complete information about the Company and this offering. You may get these documents, and the prospectus supplement, when available, for free by visiting EDGAR on the SEC website at www.sec.gov. Alternatively, the Company, or any underwriter participating in the offering will arrange to send you the prospectus if you request it by contacting: Guggenheim Securities, LLC, Attention: Equity Syndicate Department, 330 Madison Avenue, 8th Floor, New York, NY 10017, by telephone at (212) 518-9544, or by email at GSEquityProspectusDelivery@guggenheimpartners.com or Barclays Capital Inc., c/o Broadridge Financial Solutions, 1155 Long Island Avenue, Edgewood, NY 11717, by email at barclaysprospectus@broadridge.com, or by telephone at (888) 603-5847.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Free Writing Prospectuses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459"/>
        <w:gridCol w:w="9659"/>
      </w:tblGrid>
      <w:tr>
        <w:trPr/>
        <w:tc>
          <w:tcPr>
            <w:tcW w:w="8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pPr>
            <w:r>
              <w:rPr/>
              <w:t>1.</w:t>
            </w:r>
          </w:p>
        </w:tc>
        <w:tc>
          <w:tcPr>
            <w:tcW w:w="9659" w:type="dxa"/>
            <w:tcBorders/>
            <w:vAlign w:val="center"/>
          </w:tcPr>
          <w:p>
            <w:pPr>
              <w:pStyle w:val="TableContents"/>
              <w:bidi w:val="0"/>
              <w:spacing w:before="0" w:after="283"/>
              <w:jc w:val="left"/>
              <w:rPr/>
            </w:pPr>
            <w:r>
              <w:rPr/>
              <w:t>Pricing term sheet, dated September 9,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List of Persons and Entities Subject to Lock-up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Mikel H. Williams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Kirkland H. Donald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J. Madia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Tina W. Jonas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Amir V. Vexler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 A. Rothrock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Tetsuo Iguchi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Todd M. Tinelli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 A. Donelson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Neal K. Nagarajan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Patrick S. Brown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D. Emery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Yanhong Dai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LOCK-UP TO BE DELIVERED PURSUANT TO SECTION 6(j)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w:t>
      </w:r>
    </w:p>
    <w:p>
      <w:pPr>
        <w:pStyle w:val="TextBody"/>
        <w:bidi w:val="0"/>
        <w:spacing w:before="0" w:after="0"/>
        <w:ind w:left="1080" w:right="0" w:hanging="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 Madison Avenue</w:t>
      </w:r>
    </w:p>
    <w:p>
      <w:pPr>
        <w:pStyle w:val="TextBody"/>
        <w:bidi w:val="0"/>
        <w:spacing w:before="0" w:after="0"/>
        <w:ind w:left="1080" w:right="0" w:hanging="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 of the several Underwriters</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named in the within-mentioned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t>
        <w:tab/>
        <w:t>     </w:t>
      </w:r>
      <w:r>
        <w:rPr>
          <w:rFonts w:ascii="Times New Roman;Times;Serif" w:hAnsi="Times New Roman;Times;Serif"/>
          <w:b w:val="false"/>
          <w:i w:val="false"/>
          <w:caps w:val="false"/>
          <w:smallCaps w:val="false"/>
          <w:sz w:val="20"/>
          <w:u w:val="single"/>
        </w:rPr>
        <w:t>Proposed Offering of Class A Common Stock, Pre-Funded Warrants to Purchase Shares of Class A Common Stock and Common Warrants to Purchase Shares of Class A Common Stock by Centrus Energy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an officer and/or a director, as applicable, of Centrus Energy Corp.,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understands that Guggenheim Securities, LLC (“</w:t>
      </w:r>
      <w:r>
        <w:rPr>
          <w:rFonts w:ascii="Times New Roman;Times;Serif" w:hAnsi="Times New Roman;Times;Serif"/>
          <w:b/>
          <w:i w:val="false"/>
          <w:caps w:val="false"/>
          <w:smallCaps w:val="false"/>
          <w:sz w:val="20"/>
        </w:rPr>
        <w:t>Guggenheim Securities</w:t>
      </w:r>
      <w:r>
        <w:rPr>
          <w:rFonts w:ascii="Times New Roman;Times;Serif" w:hAnsi="Times New Roman;Times;Serif"/>
          <w:b w:val="false"/>
          <w:i w:val="false"/>
          <w:caps w:val="false"/>
          <w:smallCaps w:val="false"/>
          <w:sz w:val="20"/>
        </w:rPr>
        <w:t>”) proposes to enter into an Underwriting Agreement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with the Company providing for the offering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of shares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of Class A common stock, par value $0.10 per share, of the Company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pre-funded warrants to purchase shares of Common Stock (the “</w:t>
      </w:r>
      <w:r>
        <w:rPr>
          <w:rFonts w:ascii="Times New Roman;Times;Serif" w:hAnsi="Times New Roman;Times;Serif"/>
          <w:b/>
          <w:i w:val="false"/>
          <w:caps w:val="false"/>
          <w:smallCaps w:val="false"/>
          <w:sz w:val="20"/>
        </w:rPr>
        <w:t>Pre-Funded Warrants</w:t>
      </w:r>
      <w:r>
        <w:rPr>
          <w:rFonts w:ascii="Times New Roman;Times;Serif" w:hAnsi="Times New Roman;Times;Serif"/>
          <w:b w:val="false"/>
          <w:i w:val="false"/>
          <w:caps w:val="false"/>
          <w:smallCaps w:val="false"/>
          <w:sz w:val="20"/>
        </w:rPr>
        <w:t>”) and common warrants to purchase shares of Common Stock (the “</w:t>
      </w:r>
      <w:r>
        <w:rPr>
          <w:rFonts w:ascii="Times New Roman;Times;Serif" w:hAnsi="Times New Roman;Times;Serif"/>
          <w:b/>
          <w:i w:val="false"/>
          <w:caps w:val="false"/>
          <w:smallCaps w:val="false"/>
          <w:sz w:val="20"/>
        </w:rPr>
        <w:t>Common Warrants</w:t>
      </w:r>
      <w:r>
        <w:rPr>
          <w:rFonts w:ascii="Times New Roman;Times;Serif" w:hAnsi="Times New Roman;Times;Serif"/>
          <w:b w:val="false"/>
          <w:i w:val="false"/>
          <w:caps w:val="false"/>
          <w:smallCaps w:val="false"/>
          <w:sz w:val="20"/>
        </w:rPr>
        <w:t>” and together with the Pre-Funded Warrants and the Shares,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In recognition of the benefit that the Offering will confer upon the undersigned as a securityholder and/or an officer and/or a director, as applicable, of the Company, and for other good and valuable consideration, the receipt and sufficiency of which are hereby acknowledged, the undersigned agrees with each underwriter to be named in the Underwriting Agreement that, during the period beginning on the date hereof and ending on the date that is 60 days from the date of the Underwriting Agreement (the “</w:t>
      </w:r>
      <w:r>
        <w:rPr>
          <w:rFonts w:ascii="Times New Roman;Times;Serif" w:hAnsi="Times New Roman;Times;Serif"/>
          <w:b/>
          <w:i w:val="false"/>
          <w:caps w:val="false"/>
          <w:smallCaps w:val="false"/>
          <w:sz w:val="20"/>
        </w:rPr>
        <w:t>Lock-Up Period</w:t>
      </w:r>
      <w:r>
        <w:rPr>
          <w:rFonts w:ascii="Times New Roman;Times;Serif" w:hAnsi="Times New Roman;Times;Serif"/>
          <w:b w:val="false"/>
          <w:i w:val="false"/>
          <w:caps w:val="false"/>
          <w:smallCaps w:val="false"/>
          <w:sz w:val="20"/>
        </w:rPr>
        <w:t>”), the undersigned will not, without the prior written consent of Guggenheim Securities (i) directly or indirectly, offer, pledge, sell, contract to sell, sell any option or contract to purchase, purchase any option or contract to sell, grant any option, right or warrant to purchase, lend or otherwise transfer or dispose of any shares of Common Stock or any securities convertible into or exercisable or exchangeable for Common Stock, whether now owned or hereafter acquired by the undersigned or with respect to which the undersigned has or hereafter acquires the power of disposition (including, without limitation, Common Stock or such other securities which may be deemed to be beneficially owned by the undersigned in accordance with the rules and regulations of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and securities which may be issued upon exercise of a stock option or warrant) (collectively, the “</w:t>
      </w:r>
      <w:r>
        <w:rPr>
          <w:rFonts w:ascii="Times New Roman;Times;Serif" w:hAnsi="Times New Roman;Times;Serif"/>
          <w:b/>
          <w:i w:val="false"/>
          <w:caps w:val="false"/>
          <w:smallCaps w:val="false"/>
          <w:sz w:val="20"/>
        </w:rPr>
        <w:t>Lock-Up Securities</w:t>
      </w:r>
      <w:r>
        <w:rPr>
          <w:rFonts w:ascii="Times New Roman;Times;Serif" w:hAnsi="Times New Roman;Times;Serif"/>
          <w:b w:val="false"/>
          <w:i w:val="false"/>
          <w:caps w:val="false"/>
          <w:smallCaps w:val="false"/>
          <w:sz w:val="20"/>
        </w:rPr>
        <w:t>”), or exercise any right with respect to the registration of any of the Lock-Up Securities, or file, cause to be filed or cause to be confidentially submitted any registration statement in connection therewith,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(ii) enter into any hedging, swap, loan or any other agreement or any transaction (including, without limitation, any short sale or the purchase or sale of, or entry into, any put or call option, or combination thereof, forward or any other derivative transaction or instrument, however described or defined) that transfers, in whole or in part, directly or indirectly, the economic consequence of ownership of the Lock-Up Securities, whether any such hedging, swap, loan or transaction is to be settled by delivery of Common Stock or other securities, in cash or otherwise, or (iii) publicly disclose the intention to do any of the foregoing described in clauses (i) and (ii)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and subject to the conditions below, the undersigned may transfer the Lock-Up Securities without the prior written consent of Guggenheim Securities as described below, provided that (1) Guggenheim Securities receives a signed lock-up agreement in the form of this lock-up agreement for the balance of the Lock-Up Period from each donee, devisee, trustee, distributee, or transferee, as the case may be, (2) any such transfer shall not involve a disposition for value, (3) such transfers are not required to be reported during the Lock-Up Period with the Commission on Form 4 or Form 5 in accordance with Section 16(a)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or, in the case of clauses (i), (ii), (iii), (iv) and (x) below, any such required filing shall clearly indicate in the footnotes thereto that the filing relates to circumstances described in such a clause, and (4) the undersigned does not otherwise voluntarily effect any public filing or report regarding such transfers: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20"/>
              </w:rPr>
            </w:pPr>
            <w:r>
              <w:rPr>
                <w:sz w:val="20"/>
              </w:rPr>
              <w:t>(ii)</w:t>
            </w:r>
          </w:p>
        </w:tc>
        <w:tc>
          <w:tcPr>
            <w:tcW w:w="9929" w:type="dxa"/>
            <w:tcBorders/>
            <w:vAlign w:val="center"/>
          </w:tcPr>
          <w:p>
            <w:pPr>
              <w:pStyle w:val="TableContents"/>
              <w:bidi w:val="0"/>
              <w:spacing w:before="0" w:after="283"/>
              <w:jc w:val="both"/>
              <w:rPr/>
            </w:pPr>
            <w:r>
              <w:rPr/>
              <w:t xml:space="preserve">as a </w:t>
            </w:r>
            <w:r>
              <w:rPr>
                <w:i/>
              </w:rPr>
              <w:t>bona fide</w:t>
            </w:r>
            <w:r>
              <w:rPr/>
              <w:t xml:space="preserve"> gift or gifts, including, without limitation, to a charitable organization or educational institution, or for </w:t>
            </w:r>
            <w:r>
              <w:rPr>
                <w:i/>
              </w:rPr>
              <w:t xml:space="preserve">bona fide </w:t>
            </w:r>
            <w:r>
              <w:rPr/>
              <w:t>estate planning purposes;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20"/>
              </w:rPr>
            </w:pPr>
            <w:r>
              <w:rPr>
                <w:sz w:val="20"/>
              </w:rPr>
              <w:t>(iii)</w:t>
            </w:r>
          </w:p>
        </w:tc>
        <w:tc>
          <w:tcPr>
            <w:tcW w:w="9892" w:type="dxa"/>
            <w:tcBorders/>
            <w:vAlign w:val="center"/>
          </w:tcPr>
          <w:p>
            <w:pPr>
              <w:pStyle w:val="TableContents"/>
              <w:bidi w:val="0"/>
              <w:spacing w:before="0" w:after="283"/>
              <w:jc w:val="both"/>
              <w:rPr/>
            </w:pPr>
            <w:r>
              <w:rPr>
                <w:sz w:val="20"/>
              </w:rPr>
              <w:t xml:space="preserve">by will, testamentary document or intestate succession to the legal representative, heir, beneficiary or a member of the immediate family of the undersigned </w:t>
            </w:r>
            <w:r>
              <w:rPr/>
              <w:t>(for purposes of this lock-up agreement, “immediate family” of the undersigned shall mean any relationship by blood, marriage, domestic partnership or adoption, not more remote than first cousin of the undersigned);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5"/>
        <w:gridCol w:w="9833"/>
      </w:tblGrid>
      <w:tr>
        <w:trPr/>
        <w:tc>
          <w:tcPr>
            <w:tcW w:w="3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(iv)</w:t>
            </w:r>
          </w:p>
        </w:tc>
        <w:tc>
          <w:tcPr>
            <w:tcW w:w="9833" w:type="dxa"/>
            <w:tcBorders/>
            <w:vAlign w:val="center"/>
          </w:tcPr>
          <w:p>
            <w:pPr>
              <w:pStyle w:val="TableContents"/>
              <w:bidi w:val="0"/>
              <w:spacing w:before="0" w:after="283"/>
              <w:jc w:val="both"/>
              <w:rPr/>
            </w:pPr>
            <w:r>
              <w:rPr/>
              <w:t>by operation of law, such as pursuant to a qualified domestic order, divorce settlement, divorce decree or separation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24"/>
        <w:gridCol w:w="9839"/>
      </w:tblGrid>
      <w:tr>
        <w:trPr/>
        <w:tc>
          <w:tcPr>
            <w:tcW w:w="4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pPr>
            <w:r>
              <w:rPr/>
              <w:t>(v)</w:t>
            </w:r>
          </w:p>
        </w:tc>
        <w:tc>
          <w:tcPr>
            <w:tcW w:w="9839" w:type="dxa"/>
            <w:tcBorders/>
            <w:vAlign w:val="center"/>
          </w:tcPr>
          <w:p>
            <w:pPr>
              <w:pStyle w:val="TableContents"/>
              <w:bidi w:val="0"/>
              <w:spacing w:before="0" w:after="283"/>
              <w:jc w:val="both"/>
              <w:rPr/>
            </w:pPr>
            <w:r>
              <w:rPr/>
              <w:t>pursuant to an order of a court or regulatory agency having jurisdiction over the undersigned;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5"/>
        <w:gridCol w:w="9863"/>
      </w:tblGrid>
      <w:tr>
        <w:trPr/>
        <w:tc>
          <w:tcPr>
            <w:tcW w:w="3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(vi)</w:t>
            </w:r>
          </w:p>
        </w:tc>
        <w:tc>
          <w:tcPr>
            <w:tcW w:w="9863" w:type="dxa"/>
            <w:tcBorders/>
            <w:vAlign w:val="center"/>
          </w:tcPr>
          <w:p>
            <w:pPr>
              <w:pStyle w:val="TableContents"/>
              <w:bidi w:val="0"/>
              <w:spacing w:before="0" w:after="283"/>
              <w:jc w:val="both"/>
              <w:rPr/>
            </w:pPr>
            <w:r>
              <w:rPr/>
              <w:t>to any corporation, partnership, limited liability company or other entity of which the undersigned or the immediate family of the undersigned are the legal and beneficial owner of all of the outstanding equity securities or similar interests;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9"/>
        <w:gridCol w:w="9779"/>
      </w:tblGrid>
      <w:tr>
        <w:trPr/>
        <w:tc>
          <w:tcPr>
            <w:tcW w:w="3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pPr>
            <w:r>
              <w:rPr/>
              <w:t>(vii)</w:t>
            </w:r>
          </w:p>
        </w:tc>
        <w:tc>
          <w:tcPr>
            <w:tcW w:w="9779" w:type="dxa"/>
            <w:tcBorders/>
            <w:vAlign w:val="center"/>
          </w:tcPr>
          <w:p>
            <w:pPr>
              <w:pStyle w:val="TableContents"/>
              <w:bidi w:val="0"/>
              <w:spacing w:before="0" w:after="283"/>
              <w:jc w:val="both"/>
              <w:rPr/>
            </w:pPr>
            <w:r>
              <w:rPr/>
              <w:t>to a nominee or custodian of a person or entity to whom a disposition or transfer would be permissible under clauses (i) through (v) above;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16"/>
        <w:gridCol w:w="9752"/>
      </w:tblGrid>
      <w:tr>
        <w:trPr/>
        <w:tc>
          <w:tcPr>
            <w:tcW w:w="3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pPr>
            <w:r>
              <w:rPr/>
              <w:t>(viii)</w:t>
            </w:r>
          </w:p>
        </w:tc>
        <w:tc>
          <w:tcPr>
            <w:tcW w:w="9752" w:type="dxa"/>
            <w:tcBorders/>
            <w:vAlign w:val="center"/>
          </w:tcPr>
          <w:p>
            <w:pPr>
              <w:pStyle w:val="TableContents"/>
              <w:bidi w:val="0"/>
              <w:spacing w:before="0" w:after="283"/>
              <w:jc w:val="both"/>
              <w:rPr/>
            </w:pPr>
            <w:r>
              <w:rPr/>
              <w:t>to any immediate family member or any trust, partnership, limited liability company or other entity for the direct or indirect benefit of the undersigned or one or more immediate family members of the undersigned, or if the undersigned is a trust, to a trustor or beneficiary of the trust or to the estate of a beneficiary of such trust;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(ix)</w:t>
            </w:r>
          </w:p>
        </w:tc>
        <w:tc>
          <w:tcPr>
            <w:tcW w:w="9885" w:type="dxa"/>
            <w:tcBorders/>
            <w:vAlign w:val="center"/>
          </w:tcPr>
          <w:p>
            <w:pPr>
              <w:pStyle w:val="TableContents"/>
              <w:bidi w:val="0"/>
              <w:spacing w:before="0" w:after="283"/>
              <w:jc w:val="both"/>
              <w:rPr/>
            </w:pPr>
            <w:r>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limited partners, limited liability company members or stockholders of the undersigned or holders of similar equity interests in the undersigned;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20"/>
              </w:rPr>
            </w:pPr>
            <w:r>
              <w:rPr>
                <w:sz w:val="20"/>
              </w:rPr>
              <w:t>(x)</w:t>
            </w:r>
          </w:p>
        </w:tc>
        <w:tc>
          <w:tcPr>
            <w:tcW w:w="9970" w:type="dxa"/>
            <w:tcBorders/>
            <w:vAlign w:val="center"/>
          </w:tcPr>
          <w:p>
            <w:pPr>
              <w:pStyle w:val="TableContents"/>
              <w:bidi w:val="0"/>
              <w:spacing w:before="0" w:after="283"/>
              <w:jc w:val="both"/>
              <w:rPr/>
            </w:pPr>
            <w:r>
              <w:rPr/>
              <w:t xml:space="preserve">to the Company upon the undersigned’s death, disability or termination of employment or other service relationship with the Company; </w:t>
            </w:r>
            <w:r>
              <w:rPr>
                <w:i/>
              </w:rPr>
              <w:t>provided that</w:t>
            </w:r>
            <w:r>
              <w:rPr/>
              <w:t xml:space="preserve"> such shares of Common Stock were issued to the undersigned pursuant to an agreement or equity award granted pursuant to an employee benefit plan, option, warrant or other right disclosed in the prospectus for the Offering (or in documents incorporated by reference therein);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(x)</w:t>
            </w:r>
          </w:p>
        </w:tc>
        <w:tc>
          <w:tcPr>
            <w:tcW w:w="9940" w:type="dxa"/>
            <w:tcBorders/>
            <w:vAlign w:val="center"/>
          </w:tcPr>
          <w:p>
            <w:pPr>
              <w:pStyle w:val="TableContents"/>
              <w:bidi w:val="0"/>
              <w:spacing w:before="0" w:after="283"/>
              <w:jc w:val="both"/>
              <w:rPr/>
            </w:pPr>
            <w:r>
              <w:rPr/>
              <w:t xml:space="preserve">any sale or other disposition of shares of Common Stock to the Company to the extent necessary to permit the undersigned to pay to the Company the exercise price and/or tax withholding obligation due upon the exercise and/or vesting of any award granted under the Company’s equity incentive plans or arrangements disclosed in the prospectus for the Offering (or in documents incorporated by reference therein); </w:t>
            </w:r>
            <w:r>
              <w:rPr>
                <w:i/>
              </w:rPr>
              <w:t>provided that</w:t>
            </w:r>
            <w:r>
              <w:rPr/>
              <w:t xml:space="preserve"> the foregoing is limited to any award that vests or expires during the Lock-Up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undersigned may sell shares of Common Stock of the Company purchased by the undersigned on the open market following the Offering if and only if (i) such sales are not required to be reported in any public report or filing with the Commission or otherwise, and (ii) the undersigned does not otherwise voluntarily effect any public filing or report regarding such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and agrees that the underwriters have neither provided any recommendation or investment advice nor solicited any action from the undersigned with respect to the Offering and the undersigned has consulted their own legal, accounting, financial, regulatory and tax advisors to the extent deemed appropriate. The undersigned further acknowledges and agrees that, although the underwriters may be required or choose to provide certain Regulation Best Interest and Form CRS disclosures to it in connection with the Offering, the underwriters are not making a recommendation to it to enter into this lock-up agreement and nothing set forth in such disclosures is intended to suggest that any underwriter is making such a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represents and warrants that the undersigned has full power, capacity and authority to enter into this lock-up agreement. The undersigned understands that the Company and the underwriters are relying upon the lock-up agreement in proceeding toward the consummation of the Offering. The undersigned further understands that this lock-up agreement is irrevocable and shall be binding upon the undersigned’s heirs, legal representatives,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also agrees and consents to the entry of stop transfer instructions with the Company’s transfer agent and registrar against the transfer of the Lock-Up Securities except in compliance with the foregoing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herein, this lock-up agreement will automatically terminate and the undersigned will be released from all of their or its obligations hereunder upon the earliest to occur, if any, of the following: (i) prior to the execution of the Underwriting Agreement, the Company advises Guggenheim Securities in writing that it has determined not to proceed with the Offering, (ii) the Underwriting Agreement is executed but is terminated (other than with respect to the provisions thereof which survive termination) prior to payment for and delivery of the Securities to be sold thereunder or (iii) September 15, 2026 in the event that the Offering shall not have occurred on or before such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may, by written notice to the undersigned prior to such date, extend such date for a period of up to an additional 60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agreement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agreement may be executed in any number of counterparts, each of which shall be deemed to be an original, but all such counterparts shall together constitute one and the same lock-up agreement. Electronic signatures complying with the New York Electronic Signatures and Records Act (N.Y. State Tech. §§ 301-309), as amended from time to time, or other applicable law will be deemed original signatures for purposes of this lock-up agreement. Transmission by telecopy, electronic mail or other transmission method of an executed counterpart of this lock-up agreement will constitute due and sufficient delivery of such counterpart.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789" w:type="dxa"/>
        <w:jc w:val="left"/>
        <w:tblInd w:w="0" w:type="dxa"/>
        <w:tblLayout w:type="fixed"/>
        <w:tblCellMar>
          <w:top w:w="0" w:type="dxa"/>
          <w:left w:w="0" w:type="dxa"/>
          <w:bottom w:w="0" w:type="dxa"/>
          <w:right w:w="0" w:type="dxa"/>
        </w:tblCellMar>
      </w:tblPr>
      <w:tblGrid>
        <w:gridCol w:w="75"/>
        <w:gridCol w:w="3230"/>
        <w:gridCol w:w="4484"/>
      </w:tblGrid>
      <w:tr>
        <w:trPr/>
        <w:tc>
          <w:tcPr>
            <w:tcW w:w="75" w:type="dxa"/>
            <w:tcBorders/>
            <w:vAlign w:val="center"/>
          </w:tcPr>
          <w:p>
            <w:pPr>
              <w:pStyle w:val="TableContents"/>
              <w:bidi w:val="0"/>
              <w:spacing w:before="0" w:after="283"/>
              <w:jc w:val="left"/>
              <w:rPr/>
            </w:pPr>
            <w:r>
              <w:rPr/>
              <w:t> </w:t>
            </w:r>
          </w:p>
        </w:tc>
        <w:tc>
          <w:tcPr>
            <w:tcW w:w="77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77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7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OFFICER/ DIRECTOR]</w:t>
            </w:r>
          </w:p>
        </w:tc>
      </w:tr>
      <w:tr>
        <w:trPr/>
        <w:tc>
          <w:tcPr>
            <w:tcW w:w="75" w:type="dxa"/>
            <w:tcBorders/>
            <w:vAlign w:val="center"/>
          </w:tcPr>
          <w:p>
            <w:pPr>
              <w:pStyle w:val="TableContents"/>
              <w:bidi w:val="0"/>
              <w:spacing w:before="0" w:after="283"/>
              <w:jc w:val="left"/>
              <w:rPr/>
            </w:pPr>
            <w:r>
              <w:rPr/>
              <w:t> </w:t>
            </w:r>
          </w:p>
        </w:tc>
        <w:tc>
          <w:tcPr>
            <w:tcW w:w="77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48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4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4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7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7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not signing in an individual capacity:</w:t>
            </w:r>
          </w:p>
        </w:tc>
      </w:tr>
      <w:tr>
        <w:trPr/>
        <w:tc>
          <w:tcPr>
            <w:tcW w:w="75" w:type="dxa"/>
            <w:tcBorders/>
            <w:vAlign w:val="center"/>
          </w:tcPr>
          <w:p>
            <w:pPr>
              <w:pStyle w:val="TableContents"/>
              <w:bidi w:val="0"/>
              <w:spacing w:before="0" w:after="283"/>
              <w:jc w:val="left"/>
              <w:rPr/>
            </w:pPr>
            <w:r>
              <w:rPr/>
              <w:t> </w:t>
            </w:r>
          </w:p>
        </w:tc>
        <w:tc>
          <w:tcPr>
            <w:tcW w:w="77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714"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7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(Print)</w:t>
            </w:r>
          </w:p>
        </w:tc>
      </w:tr>
      <w:tr>
        <w:trPr/>
        <w:tc>
          <w:tcPr>
            <w:tcW w:w="75" w:type="dxa"/>
            <w:tcBorders/>
            <w:vAlign w:val="center"/>
          </w:tcPr>
          <w:p>
            <w:pPr>
              <w:pStyle w:val="TableContents"/>
              <w:bidi w:val="0"/>
              <w:spacing w:before="0" w:after="283"/>
              <w:jc w:val="left"/>
              <w:rPr/>
            </w:pPr>
            <w:r>
              <w:rPr/>
              <w:t> </w:t>
            </w:r>
          </w:p>
        </w:tc>
        <w:tc>
          <w:tcPr>
            <w:tcW w:w="77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714"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7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(Print)</w:t>
            </w:r>
          </w:p>
        </w:tc>
      </w:tr>
      <w:tr>
        <w:trPr/>
        <w:tc>
          <w:tcPr>
            <w:tcW w:w="75" w:type="dxa"/>
            <w:tcBorders/>
            <w:vAlign w:val="center"/>
          </w:tcPr>
          <w:p>
            <w:pPr>
              <w:pStyle w:val="TableContents"/>
              <w:bidi w:val="0"/>
              <w:spacing w:before="0" w:after="283"/>
              <w:jc w:val="left"/>
              <w:rPr/>
            </w:pPr>
            <w:r>
              <w:rPr/>
              <w:t> </w:t>
            </w:r>
          </w:p>
        </w:tc>
        <w:tc>
          <w:tcPr>
            <w:tcW w:w="7714" w:type="dxa"/>
            <w:gridSpan w:val="2"/>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(Indicate capacity of person signing if signing as custodian, trustee, or on behalf of an entity.)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5" w:name="tm2625019d5_ex4-1.htm"/>
      <w:bookmarkStart w:id="26" w:name="kstm2625019d5_ex41"/>
      <w:bookmarkEnd w:id="25"/>
      <w:bookmarkEnd w:id="26"/>
      <w:r>
        <w:rPr/>
        <w:t> </w:t>
      </w:r>
      <w:r>
        <w:br w:type="page"/>
      </w:r>
    </w:p>
    <w:p>
      <w:pPr>
        <w:pStyle w:val="TextBody"/>
        <w:bidi w:val="0"/>
        <w:jc w:val="right"/>
        <w:rPr>
          <w:b/>
        </w:rPr>
      </w:pPr>
      <w:r>
        <w:rPr>
          <w:b/>
        </w:rPr>
        <w:t>EXHIBIT 4.1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CENTRUS ENERGY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Warrant To Purchase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Number of Shares of Common Stock: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Issuance: September 11, 2026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Centrus Energy Corp., a corporation organized under the laws of the State of Delaware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certifies that, for good and valuable consideration, the receipt and sufficiency of which are hereby acknowledged, [•], the registered holder hereof or its permitted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xml:space="preserve">”), is entitled, subject to the terms set forth below, to purchase from the Company, at the Exercise Price (as defined below) then in effect, at any time or times on or after the Issuance Date, but not after 11:59 p.m., New York City time, on the applicable Expiration Date for the applicable Tranche (each as defined below), up to an aggregate of [•] fully paid non-assessable shares of Common Stock (as defined below), as allocated among the Tranches set forth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subject to adjustment as provided herein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Except as otherwise defined herein, capitalized terms in this Warrant to purchase Common Stock (including any Warrants to purchase Common Stock issued in exchange, transfer or replacement hereof, this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shall have the meanings set forth in Section 11. This Warrant is one of the Warrants to purchase Common Stock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issued pursuant to (i) that certain Underwriting Agreement, dated September 9, 2026 (the “</w:t>
      </w:r>
      <w:r>
        <w:rPr>
          <w:rFonts w:ascii="Times New Roman;Times;Serif" w:hAnsi="Times New Roman;Times;Serif"/>
          <w:b/>
          <w:i w:val="false"/>
          <w:caps w:val="false"/>
          <w:smallCaps w:val="false"/>
          <w:sz w:val="20"/>
        </w:rPr>
        <w:t>Subscription Date</w:t>
      </w:r>
      <w:r>
        <w:rPr>
          <w:rFonts w:ascii="Times New Roman;Times;Serif" w:hAnsi="Times New Roman;Times;Serif"/>
          <w:b w:val="false"/>
          <w:i w:val="false"/>
          <w:caps w:val="false"/>
          <w:smallCaps w:val="false"/>
          <w:sz w:val="20"/>
        </w:rPr>
        <w:t>”), by and between the Company and Guggenheim Securities, LLC, as representative of the several underwriters named therein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(ii) the Company’s Registration Statement on Form S-3ASR (File No. 333-291305)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and related prospectus included therein and (iii) the Company’s prospectus supplement, dated 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EXERCISE OF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Mechanics of Exercise. Subject to the terms and conditions hereof (including, without limitation, the limitations set forth in Section 1(e)), this Warrant may be exercised by the Holder at any time or times on or after the Issuance Date (an “</w:t>
      </w:r>
      <w:r>
        <w:rPr>
          <w:rFonts w:ascii="Times New Roman;Times;Serif" w:hAnsi="Times New Roman;Times;Serif"/>
          <w:b/>
          <w:i w:val="false"/>
          <w:caps w:val="false"/>
          <w:smallCaps w:val="false"/>
          <w:sz w:val="20"/>
        </w:rPr>
        <w:t>Exercise Date</w:t>
      </w:r>
      <w:r>
        <w:rPr>
          <w:rFonts w:ascii="Times New Roman;Times;Serif" w:hAnsi="Times New Roman;Times;Serif"/>
          <w:b w:val="false"/>
          <w:i w:val="false"/>
          <w:caps w:val="false"/>
          <w:smallCaps w:val="false"/>
          <w:sz w:val="20"/>
        </w:rPr>
        <w:t xml:space="preserve">”), in whole or in part, by delivery (whether via electronic mail or otherwise) of a written notice,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of the Holder’s election to exercise this Warrant, which Exercise Notice shall specify the applicable Tranche or Tranches being exercised and the number of Warrant Shares being exercised with respect to each such Tranche. Within one (1) Trading Day following the delivery of the Exercise Notice, the Holder shall make payment to the Company of an amount equal to the Exercise Price in effect on the date of such exercise multiplied by the number of Warrant Shares as to which this Warrant is being exercised (the “</w:t>
      </w:r>
      <w:r>
        <w:rPr>
          <w:rFonts w:ascii="Times New Roman;Times;Serif" w:hAnsi="Times New Roman;Times;Serif"/>
          <w:b/>
          <w:i w:val="false"/>
          <w:caps w:val="false"/>
          <w:smallCaps w:val="false"/>
          <w:sz w:val="20"/>
        </w:rPr>
        <w:t>Aggregate Exercise Price</w:t>
      </w:r>
      <w:r>
        <w:rPr>
          <w:rFonts w:ascii="Times New Roman;Times;Serif" w:hAnsi="Times New Roman;Times;Serif"/>
          <w:b w:val="false"/>
          <w:i w:val="false"/>
          <w:caps w:val="false"/>
          <w:smallCaps w:val="false"/>
          <w:sz w:val="20"/>
        </w:rPr>
        <w:t>”) in cash by wire transfer of immediately available funds or, if the provisions of Section 1(d) are applicable, by notifying the Company pursuant to the Exercise Notice that this Warrant is being exercised pursuant to a Cashless Exercise (as defined in Section 1(d)). Execution and delivery of the Exercise Notice with respect to less than all of the Warrant Shares shall have the same effect as cancellation of the original Warrant and issuance of a new Warrant evidencing the right to purchase the remaining number of Warrant Shares and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five (5) Trading Days of the date on which the final Exercise Notice has been delivered to the Company. On or before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following the date on which the Holder has delivered the applicable Exercise Notice, the Company shall transmit by electronic mail an acknowledgment of confirmation of receipt of the Exercise Notice, in the form attached to the Exercise Notice, to the Holder and the Company’s transfer agent (the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So long as the Holder delivers the Aggregate Exercise Price (or notice of a Cashless Exercise, if applicable) on or prior to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following the date on which the Exercise Notice has been delivered to the Company, then on or prior to the number of Trading Days comprising the Standard Settlement Period following the date on which the Exercise Notice has been delivered to the Company, or, if the Holder does not deliver the Aggregate Exercise Price (or notice of a Cashless Exercise, if applicable) on or prior to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following the date on which the Exercise Notice has been delivered to the Company, then on or prior to the date on which the Aggregate Exercise Price (or notice of a Cashless Exercise, if applicable) is delivered (such earlier date, or if later, the earliest day on which the Company is required to deliver Warrant Shares pursuant to this Section 1(a), the “</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the Company shall (X) provided that the Transfer Agent is participating in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Fast Automated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xml:space="preserve">”), credit such aggregate number of Warrant Shares to which the Holder is entitled pursuant to such exercise to the Holder’s or its designee’s balance account with DTC through its Deposit / Withdrawal At Custodian system, or (Y) if the Transfer Agent is not participating in the FAST, issue and dispatch by overnight courier to the address as specified in the Exercise Notice, a certificate or evidence of a credit book entry of shares, registered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including without limitation for same day processing. On the Share Delivery Date, the Holder shall be deemed for all corporate purposes to have become the holder of record and the beneficial owner of the Warrant Shares with respect to which this Warrant has been exercised, irrespective of the date such Warrant Shares are credited to the Holder’s DTC account or the date of delivery of the certificates evidencing such Warrant Shares, as the case may be; provided, that the Holder shall be deemed to have waived any voting rights of any such Warrant Shares that may arise with respect to the period commencing on such Exercise Date, through, and including, such applicable Share Delivery Date, as necessary, such that the aggregate voting rights of any shares of Common Stock (including such Warrant Shares) beneficially owned by the Holder and/or any Attribution Parties (as defined herein), collectively, on any such date of determination shall not exceed the Maximum Percentage (as defined below) as a result of any such exercise of this Warrant. If this Warrant is physically delivered to the Company in connection with any exercise pursuant to this Section 1(a) and the number of Warrant Shares represented by this Warrant submitted for exercise is greater than the number of Warrant Shares being acquired upon an exercise, then the Company shall as soon as practicable and in no event later than three (3) Trading Days after any exercise and at its own expense, issue and deliver to the Holder (or its designee (including, if applicable, the Warrant Agent)) a new Warrant (in accordance with Section 7(b)) representing the right to purchase the number of Warrant Shares issuable immediately prior to such exercise under this Warrant, less the number of Warrant Shares with respect to which this Warrant is exercised. No fractional Warrant Shares are to be issued upon the exercise of this Warrant, but rather the number of Warrant Shares to be issued shall be rounded down to the nearest whole number. Issuance of Warrant Shares shall be made without charge to the Holder for any issue or transfer tax or any incidental expense in respect of the issuance of such Warrant Shares, all of which taxes and expenses shall be paid by the Company, and such Warrant Shares shall be issued in the name of the Holder or in such name or names as may be directed by the Holder; provided, however, that, in the event that Warrant Shares are to be issued in a name other than the name of the Holder, this Warrant when surrendered for exercise shall be accompanied by the Assignment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duly executed by the Holder and the Company may require, as a condition thereto, the payment of a sum sufficient to reimburse it for any transfer tax incidental thereto. Subject to the foregoing, the Holder shall be responsible for all other tax liability that may arise as a result of holding or transferring this Warrant or receiving Warrant Shares upon exercise hereof, including any United States withholding taxes imposed on any dividends or deemed dividends, and the Company shall be entitled to withhold such tax liability from shares of Common Stock, sales proceeds subsequently paid or credited, or other amounts payable or distributable to the relevant Holder as required by applicable law. Any amount deducted or withheld shall be treated for all purposes as having been paid to the Holder. The Company will not close its stockholder books or records in any manner that prevents the timely exercise of this Warrant, pursuant to the terms hereof. The Company’s obligation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Company shall not be required to deliver Warrant Shares with respect to an exercise prior to the Holder’s delivery of the Aggregate Exercise Price (or notice of a Cashless Exercise) with respect to such exercise.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For purposes of this Warrant,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means $[•] per share, subject to adjustment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Company’s Failure to Timely Deliver Securities</w:t>
      </w:r>
      <w:r>
        <w:rPr>
          <w:rFonts w:ascii="Times New Roman;Times;Serif" w:hAnsi="Times New Roman;Times;Serif"/>
          <w:b w:val="false"/>
          <w:i w:val="false"/>
          <w:caps w:val="false"/>
          <w:smallCaps w:val="false"/>
          <w:sz w:val="20"/>
        </w:rPr>
        <w:t>. If either (I) the Company shall fail for any reason or for no reason to issue or credit, as the case may be, to the Holder on or prior to the applicable Share Delivery Date, if (x) the Transfer Agent is not participating in the FAST, a certificate or evidence of a book-entry credit for the number of shares of Common Stock to which the Holder is entitled and register such Common Stock on the Company’s share register or (y) the Transfer Agent is participating in the FAST, to credit the Holder’s balance account with DTC, for such number of shares of Common Stock to which the Holder is entitled upon the Holder’s exercise of this Warrant or (II) a registration statement (which may be the Registration Statement) covering the issuance or resale of the Warrant Shares that are the subject of the Exercise Notice (the “</w:t>
      </w:r>
      <w:r>
        <w:rPr>
          <w:rFonts w:ascii="Times New Roman;Times;Serif" w:hAnsi="Times New Roman;Times;Serif"/>
          <w:b/>
          <w:i w:val="false"/>
          <w:caps w:val="false"/>
          <w:smallCaps w:val="false"/>
          <w:sz w:val="20"/>
        </w:rPr>
        <w:t>Exercise Notice Warrant Shares</w:t>
      </w:r>
      <w:r>
        <w:rPr>
          <w:rFonts w:ascii="Times New Roman;Times;Serif" w:hAnsi="Times New Roman;Times;Serif"/>
          <w:b w:val="false"/>
          <w:i w:val="false"/>
          <w:caps w:val="false"/>
          <w:smallCaps w:val="false"/>
          <w:sz w:val="20"/>
        </w:rPr>
        <w:t>”) is not available for the issuance or resale, as applicable, of such Exercise Notice Warrant Shares and (x) the Company fails to promptly, but in no event later than one (1) Business Day after such registration statement becomes unavailable, to so notify the Holder and (y) the Company is unable to deliver the Exercise Notice Warrant Shares electronically without any restrictive legend by crediting such aggregate number of Exercise Notice Warrant Shares to the Holder’s or its designee’s balance account with DTC through its Deposit / Withdrawal At Custodian system (the event described in the immediately foregoing clause (II) is hereinafter referred as a “</w:t>
      </w:r>
      <w:r>
        <w:rPr>
          <w:rFonts w:ascii="Times New Roman;Times;Serif" w:hAnsi="Times New Roman;Times;Serif"/>
          <w:b/>
          <w:i w:val="false"/>
          <w:caps w:val="false"/>
          <w:smallCaps w:val="false"/>
          <w:sz w:val="20"/>
        </w:rPr>
        <w:t>Notice Failure</w:t>
      </w:r>
      <w:r>
        <w:rPr>
          <w:rFonts w:ascii="Times New Roman;Times;Serif" w:hAnsi="Times New Roman;Times;Serif"/>
          <w:b w:val="false"/>
          <w:i w:val="false"/>
          <w:caps w:val="false"/>
          <w:smallCaps w:val="false"/>
          <w:sz w:val="20"/>
        </w:rPr>
        <w:t>”), then, in addition to all other remedies available to the Holder, if on or prior to the applicable Share Delivery Date either (I) if the Transfer Agent is not participating in the FAST, the Company shall fail to issue and deliver a certificate or evidence of a book-entry credit to the Holder and register such shares of Common Stock on the Company’s share register or, if the Transfer Agent is participating in the FAST, credit the Holder’s balance account with DTC for the number of shares of Common Stock to which the Holder is entitled upon the Holder’s exercise hereunder or pursuant to the Company’s obligation pursuant to clause (ii) below or (II) if a Notice Failure occurs, and, in each case, if after such date the Holder is required by its broker to acquire (in an open market transaction, stock loan or otherwise) or the Holder’s brokerage firm otherwise acquires in connection with such Notice Failure, shares of Common Stock corresponding to all or any portion of the number of shares of Common Stock issuable upon such exercise which the Holder anticipated receiving upon such exercise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the Company shall, within five (5) Trading Days after the Holder’s request, (A) pay in cash to the Holder the amount, if any, by which (x) the Holder’s total purchase price (including customary brokerage commissions, stock loan costs and other out-of-pocket expenses,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The Company’s current transfer agent participates in the FAST. In the event that the Company changes transfer agents while this Warrant is outstanding, the Company shall select a transfer agent that participates in FAST. While this Warrant is outstanding, the Company shall cause its transfer agent to participate in FAST with respect to this Warrant. In addition to the foregoing rights, (i) if the Company fails to deliver the applicable number of Warrant Shares upon an exercise pursuant to Section 1 by the applicable Share Delivery Date, then the Holder shall have the right to rescind such exercise in whole or in part and retain and/or have the Company return, as the case may be, any portion of this Warrant that has not been exercised pursuant to such Exercise Notice; provided that the rescission of an exercise shall not affect the Company’s obligation to make any payments that have accrued prior to the date of such notice pursuant to this Section 1(c) or otherwise, and (ii) if a registration statement (which may be the Registration Statement) covering the issuance or resale of the Warrant Shares that are subject to an Exercise Notice is not available for the issuance or resale, as applicable, of such Exercise Notice Warrant Shares and the Holder has submitted an Exercise Notice prior to receiving notice of the non-availability of such registration statement and the Company has not already delivered the Warrant Shares underlying such Exercise Notice electronically without any restrictive legend by crediting such aggregate number of Warrant Shares to which the Holder is entitled pursuant to such exercise to the Holder’s or its designee’s balance account with DTC through its Deposit / Withdrawal At Custodian system, the Holder shall have the option, by delivery of notice to the Company, to (x) rescind such Exercise Notice in whole or in part and retain or have returned, as the case may be, any portion of this Warrant that has not been exercised pursuant to such Exercise Notice; provided that the rescission of an Exercise Notice shall not affect the Company’s obligation to make any payments that have accrued prior to the date of such notice pursuant to this Section 1(c) or otherwise, and/or (y) switch some or all of such Exercise Notice from a cash exercise to a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at the time of exercise hereof, there is no effective registration statement, or the prospectus contained therein is not available for the issuance or resale of the Warrant Shares to or by the Holder, then this Warrant may also be exercised, in whole or in part, at such time by means of a “cashless exercise” (a “</w:t>
      </w:r>
      <w:r>
        <w:rPr>
          <w:rFonts w:ascii="Times New Roman;Times;Serif" w:hAnsi="Times New Roman;Times;Serif"/>
          <w:b/>
          <w:i w:val="false"/>
          <w:caps w:val="false"/>
          <w:smallCaps w:val="false"/>
          <w:sz w:val="20"/>
        </w:rPr>
        <w:t>Cashless Exercise</w:t>
      </w:r>
      <w:r>
        <w:rPr>
          <w:rFonts w:ascii="Times New Roman;Times;Serif" w:hAnsi="Times New Roman;Times;Serif"/>
          <w:b w:val="false"/>
          <w:i w:val="false"/>
          <w:caps w:val="false"/>
          <w:smallCaps w:val="false"/>
          <w:sz w:val="20"/>
        </w:rPr>
        <w:t>”) in which the Holder shall be entitled to receive a number of Warrant Shares equal to the quotient obtained by dividing (A-B) * (X) by (A), 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155"/>
        <w:gridCol w:w="9812"/>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A</w:t>
            </w:r>
          </w:p>
        </w:tc>
        <w:tc>
          <w:tcPr>
            <w:tcW w:w="155" w:type="dxa"/>
            <w:tcBorders/>
            <w:vAlign w:val="center"/>
          </w:tcPr>
          <w:p>
            <w:pPr>
              <w:pStyle w:val="TableContents"/>
              <w:bidi w:val="0"/>
              <w:spacing w:before="0" w:after="283"/>
              <w:jc w:val="both"/>
              <w:rPr/>
            </w:pPr>
            <w:r>
              <w:rPr/>
              <w:t>=</w:t>
              <w:tab/>
            </w:r>
          </w:p>
        </w:tc>
        <w:tc>
          <w:tcPr>
            <w:tcW w:w="9812" w:type="dxa"/>
            <w:tcBorders/>
            <w:vAlign w:val="center"/>
          </w:tcPr>
          <w:p>
            <w:pPr>
              <w:pStyle w:val="TableContents"/>
              <w:bidi w:val="0"/>
              <w:spacing w:before="0" w:after="283"/>
              <w:jc w:val="both"/>
              <w:rPr/>
            </w:pPr>
            <w:r>
              <w:rPr/>
              <w:t>as applicable, (i) the VWAP (as defined herein)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600(b)(88) of Regulation NMS promulgated under the federal securities laws) on such Trading Day, (ii) at the option of the Holder, either (y) the VWAP on the Trading Day immediately preceding the date of the applicable Exercise Notice or (z) the Bid Price of the Common Stock on the principal Trading Market as reported by Bloomberg as of the time of the Holder’s execution of the applicable Exercise Notice if such Exercise Notice is executed during “regular trading hours” on a Trading Day and is delivered within two (2) hours thereafter (including until two (2) hours after the close of “regular trading hours” on a Trading Day) pursuant to Section 1(a) hereof or (iii) the VWAP on the date of the applicable Exercise Notice if the date of such Exercise Notice is a Trading Day and such Exercise Notice is both executed and delivered pursuant to Section 1(a) hereof after the close of “regular trading hours” on such Trading Day;</w:t>
            </w:r>
          </w:p>
        </w:tc>
      </w:tr>
    </w:tbl>
    <w:p>
      <w:pPr>
        <w:pStyle w:val="TextBody"/>
        <w:bidi w:val="0"/>
        <w:spacing w:before="0" w:after="0"/>
        <w:ind w:left="0" w:right="0" w:hanging="0"/>
        <w:jc w:val="left"/>
        <w:rPr>
          <w:caps w:val="false"/>
          <w:smallCaps w:val="false"/>
        </w:rPr>
      </w:pPr>
      <w:r>
        <w:rPr>
          <w:caps w:val="false"/>
          <w:smallCaps w:val="false"/>
        </w:rPr>
        <w:t> </w:t>
      </w:r>
    </w:p>
    <w:tbl>
      <w:tblPr>
        <w:tblW w:w="6203" w:type="dxa"/>
        <w:jc w:val="left"/>
        <w:tblInd w:w="0" w:type="dxa"/>
        <w:tblLayout w:type="fixed"/>
        <w:tblCellMar>
          <w:top w:w="0" w:type="dxa"/>
          <w:left w:w="0" w:type="dxa"/>
          <w:bottom w:w="0" w:type="dxa"/>
          <w:right w:w="0" w:type="dxa"/>
        </w:tblCellMar>
      </w:tblPr>
      <w:tblGrid>
        <w:gridCol w:w="38"/>
        <w:gridCol w:w="185"/>
        <w:gridCol w:w="155"/>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B</w:t>
            </w:r>
          </w:p>
        </w:tc>
        <w:tc>
          <w:tcPr>
            <w:tcW w:w="155" w:type="dxa"/>
            <w:tcBorders/>
            <w:vAlign w:val="center"/>
          </w:tcPr>
          <w:p>
            <w:pPr>
              <w:pStyle w:val="TableContents"/>
              <w:bidi w:val="0"/>
              <w:spacing w:before="0" w:after="283"/>
              <w:jc w:val="left"/>
              <w:rPr/>
            </w:pPr>
            <w:r>
              <w:rPr/>
              <w:t>=</w:t>
              <w:tab/>
            </w:r>
          </w:p>
        </w:tc>
        <w:tc>
          <w:tcPr>
            <w:tcW w:w="5825" w:type="dxa"/>
            <w:tcBorders/>
            <w:vAlign w:val="center"/>
          </w:tcPr>
          <w:p>
            <w:pPr>
              <w:pStyle w:val="TableContents"/>
              <w:bidi w:val="0"/>
              <w:spacing w:before="0" w:after="283"/>
              <w:jc w:val="left"/>
              <w:rPr/>
            </w:pPr>
            <w:r>
              <w:rPr/>
              <w:t>the Exercise Price of this Warrant, as adjusted hereunder;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155"/>
        <w:gridCol w:w="9812"/>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X</w:t>
            </w:r>
          </w:p>
        </w:tc>
        <w:tc>
          <w:tcPr>
            <w:tcW w:w="155" w:type="dxa"/>
            <w:tcBorders/>
            <w:vAlign w:val="center"/>
          </w:tcPr>
          <w:p>
            <w:pPr>
              <w:pStyle w:val="TableContents"/>
              <w:bidi w:val="0"/>
              <w:spacing w:before="0" w:after="283"/>
              <w:jc w:val="both"/>
              <w:rPr/>
            </w:pPr>
            <w:r>
              <w:rPr/>
              <w:t>=</w:t>
              <w:tab/>
            </w:r>
          </w:p>
        </w:tc>
        <w:tc>
          <w:tcPr>
            <w:tcW w:w="9812" w:type="dxa"/>
            <w:tcBorders/>
            <w:vAlign w:val="center"/>
          </w:tcPr>
          <w:p>
            <w:pPr>
              <w:pStyle w:val="TableContents"/>
              <w:bidi w:val="0"/>
              <w:spacing w:before="0" w:after="283"/>
              <w:jc w:val="both"/>
              <w:rPr/>
            </w:pPr>
            <w:r>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on each six-month anniversary of the Issuance Date and upon at least 15 days’ prior written notice to the Holder, the Warrant Agent and the Transfer Agent, the Company may (but is not required to) elect to require that any exercise of a Warrant by a Holder be effected only on a Cashless Exercise basis (the “</w:t>
      </w:r>
      <w:r>
        <w:rPr>
          <w:rFonts w:ascii="Times New Roman;Times;Serif" w:hAnsi="Times New Roman;Times;Serif"/>
          <w:b/>
          <w:i w:val="false"/>
          <w:caps w:val="false"/>
          <w:smallCaps w:val="false"/>
          <w:sz w:val="20"/>
        </w:rPr>
        <w:t>Cashless Election</w:t>
      </w:r>
      <w:r>
        <w:rPr>
          <w:rFonts w:ascii="Times New Roman;Times;Serif" w:hAnsi="Times New Roman;Times;Serif"/>
          <w:b w:val="false"/>
          <w:i w:val="false"/>
          <w:caps w:val="false"/>
          <w:smallCaps w:val="false"/>
          <w:sz w:val="20"/>
        </w:rPr>
        <w:t>”) during the six-month period commencing on the date of such Cashless Election and ending on the date immediately prior to the next six-month anniversary of the Issuance Date (the “</w:t>
      </w:r>
      <w:r>
        <w:rPr>
          <w:rFonts w:ascii="Times New Roman;Times;Serif" w:hAnsi="Times New Roman;Times;Serif"/>
          <w:b/>
          <w:i w:val="false"/>
          <w:caps w:val="false"/>
          <w:smallCaps w:val="false"/>
          <w:sz w:val="20"/>
        </w:rPr>
        <w:t>Election Period</w:t>
      </w:r>
      <w:r>
        <w:rPr>
          <w:rFonts w:ascii="Times New Roman;Times;Serif" w:hAnsi="Times New Roman;Times;Serif"/>
          <w:b w:val="false"/>
          <w:i w:val="false"/>
          <w:caps w:val="false"/>
          <w:smallCaps w:val="false"/>
          <w:sz w:val="20"/>
        </w:rPr>
        <w:t>”). For the avoidance of doubt, during an Election Period, the Holder will not be permitted to exercise a Warrant in cash. The Company shall have the right to make a Cashless Election only on each six-month anniversary of the Issuance Date in accordance with this paragraph, and, once made, such Cashless Exercise shall be irrevocable by the Company for the corresponding Election Period, and such Cashless Election shall apply only during such corresponding Election Period. Commencing on the next six-month anniversary of the Issuance Date following a Cashless Election, a Warrant may be exercised by Holders only in cash unless either (A) a Cashless Exercise by the Holder is permitted by this clause (d) as set forth above or (B) the Company makes (and has provided notice of) a new Cashless Election in accordance with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Shares are issued in a Cashless Exercise, the Company acknowledges and agrees that in accordance with Section 3(a)(9)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the Warrant Shares shall take on the registered characteristics of the Warrants being exercised. The Company agrees not to take any position contrary to this Section 1(d). Without limiting the rights of a Holder to receive Warrant Shares on a “cashless exercise” basis, and to receive the cash payments contemplated pursuant to Sections 1(c) and 3, in no event will the Company be required to net cash settle a Warrant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the Maximum Percentage (as defined below).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this Section 1(e). For purposes of this Section 1(e), beneficial ownership shall be calculated in accordance with Section 13(d)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In addition, a determination as to any group status as contemplated above shall be determined in accordance with Section 13(d) of the Exchange Act and the rules and regulations promulgated thereunder.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or other public filing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as the case may be, (y) a more recent public announcement by the Company or (z) any other written notice by the Company or the Transfer Agent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1(e), to exceed the Maximum Percentage, the Holder must notify the Company of a reduced number of Warrant Shares to be acquired pursuant to such Exercise Notice (the number of shares by which such purchase is reduced, the “</w:t>
      </w:r>
      <w:r>
        <w:rPr>
          <w:rFonts w:ascii="Times New Roman;Times;Serif" w:hAnsi="Times New Roman;Times;Serif"/>
          <w:b/>
          <w:i w:val="false"/>
          <w:caps w:val="false"/>
          <w:smallCaps w:val="false"/>
          <w:sz w:val="20"/>
        </w:rPr>
        <w:t>Reduction Shares</w:t>
      </w:r>
      <w:r>
        <w:rPr>
          <w:rFonts w:ascii="Times New Roman;Times;Serif" w:hAnsi="Times New Roman;Times;Serif"/>
          <w:b w:val="false"/>
          <w:i w:val="false"/>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The Maximum Percentage shall be 4.99% of the number of shares of the Common Stock outstanding immediately after giving effect to the issuance of shares of Common Stock issuable upon exercise of this Warrant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1(e) to the extent necessary to correct this paragraph or any portion of this paragraph which may be defective or inconsistent with the intended beneficial ownership limitation contained in this Section 1(e) or to make changes or supplements necessary or desirable to properly give effect to such limitation. The limitation contained in this paragraph may not be waived, modified or amended and shall apply to a successor holder of this Warrant. The Warrant Agent (as defined below) shall have no obligation to monitor the beneficial ownership holdings of the Holder or all holders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Disputes</w:t>
      </w:r>
      <w:r>
        <w:rPr>
          <w:rFonts w:ascii="Times New Roman;Times;Serif" w:hAnsi="Times New Roman;Times;Serif"/>
          <w:b w:val="false"/>
          <w:i w:val="false"/>
          <w:caps w:val="false"/>
          <w:smallCaps w:val="false"/>
          <w:sz w:val="20"/>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ADJUSTMENT OF EXERCISE PRICE AND NUMBER OF WARRANT SHARES</w:t>
      </w:r>
      <w:r>
        <w:rPr>
          <w:rFonts w:ascii="Times New Roman;Times;Serif" w:hAnsi="Times New Roman;Times;Serif"/>
          <w:b w:val="false"/>
          <w:i w:val="false"/>
          <w:caps w:val="false"/>
          <w:smallCaps w:val="false"/>
          <w:sz w:val="20"/>
        </w:rPr>
        <w:t>. The Exercise Price and the number of Warrant Shares shall be adjusted from time to time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Trading Market, the Company may at any time during the term of this Warrant reduce the then current Exercise Price to any amount and for any period of time deemed appropriate by the board of directors of the Company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Adjustment Upon 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on its Common Stock or otherwise makes a distribution or distributions on any class of capital stock payable in shares of its Common Stock or any other equity or equity equivalent securities payable in shares of Common Stock (which, for the avoidance of doubt, shall not include any shares of Common Stock issued by the Company upon exercise of this Warrant), (ii) subdivides outstanding shares of Common Stock into a greater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under this Section 2(b) shall become effective immediately after the record date for the determination of stockholders entitled to receive such dividend or distribution and shall become effective immediately after the effective date in the case of a subdivision, combination or reclassification. If any event requiring an adjustment under this paragraph occurs during the period that an Exercise Price is calculated hereunder, then the calculation of such Exercise Price shall be adjusted appropriately to reflect such event. Simultaneously with any adjustment to the Exercise Price pursuant to this Section 2(b),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RIGHTS UPON DISTRIBUTION OF ASSETS</w:t>
      </w:r>
      <w:r>
        <w:rPr>
          <w:rFonts w:ascii="Times New Roman;Times;Serif" w:hAnsi="Times New Roman;Times;Serif"/>
          <w:b w:val="false"/>
          <w:i w:val="false"/>
          <w:caps w:val="false"/>
          <w:smallCaps w:val="false"/>
          <w:sz w:val="20"/>
        </w:rPr>
        <w:t>. In addition to any adjustments pursuant to Section 2 above or Section 4(a) below, during such time as this Warrant is outstanding, if the Company shall declare or make any dividend or other distribution of its assets (or rights to acquire its assets) (the “</w:t>
      </w:r>
      <w:r>
        <w:rPr>
          <w:rFonts w:ascii="Times New Roman;Times;Serif" w:hAnsi="Times New Roman;Times;Serif"/>
          <w:b/>
          <w:i w:val="false"/>
          <w:caps w:val="false"/>
          <w:smallCaps w:val="false"/>
          <w:sz w:val="20"/>
        </w:rPr>
        <w:t>Distributed Assets</w:t>
      </w:r>
      <w:r>
        <w:rPr>
          <w:rFonts w:ascii="Times New Roman;Times;Serif" w:hAnsi="Times New Roman;Times;Serif"/>
          <w:b w:val="false"/>
          <w:i w:val="false"/>
          <w:caps w:val="false"/>
          <w:smallCaps w:val="false"/>
          <w:sz w:val="20"/>
        </w:rPr>
        <w:t>”)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other than dividends or distributions subject to Section 2(b) above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or other than a reclassification to which Section 4(b) applies, then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The Company shall not effect any Distribution if, immediately after giving effect thereto, any Initial Holder, together with its Attribution Parties, would beneficially own in excess of 9.99% of the outstanding shares of Common Stock, unless such Initial Holder has provided its prior written consent. Notwithstanding the foregoing, such consent shall be deemed given if (i) the Company provides such Initial Holder, at least five (5) Business Days prior to the record date for the Distribution, written notice describing the Distribution in reasonable detail and (ii) such Initial Holder does not notify the Company in writing within two (2) Business Days of receipt of such written notice, that the Distribution would cause such Initial Holder, together with its Attribution Parties, to beneficially own in excess of 9.99% of the outstanding shares of Common Stock immediately after giving effect to the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 PURCHASE RIGHTS; ASSUMPTION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 2 or 3 above, if during such time as this Warrant is outstanding, the Company grants, issues or sells (each, a “</w:t>
      </w:r>
      <w:r>
        <w:rPr>
          <w:rFonts w:ascii="Times New Roman;Times;Serif" w:hAnsi="Times New Roman;Times;Serif"/>
          <w:b/>
          <w:i w:val="false"/>
          <w:caps w:val="false"/>
          <w:smallCaps w:val="false"/>
          <w:sz w:val="20"/>
        </w:rPr>
        <w:t>Grant</w:t>
      </w:r>
      <w:r>
        <w:rPr>
          <w:rFonts w:ascii="Times New Roman;Times;Serif" w:hAnsi="Times New Roman;Times;Serif"/>
          <w:b w:val="false"/>
          <w:i w:val="false"/>
          <w:caps w:val="false"/>
          <w:smallCaps w:val="false"/>
          <w:sz w:val="20"/>
        </w:rPr>
        <w:t>”) any Options, Convertible Securities or rights to purchase stock, warrants, securities or other property pro rata to the record holders of any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The Company shall not effect any Grant if, immediately after giving effect thereto, any Initial Holder, together with its Attribution Parties, would beneficially own in excess of 9.99% of the outstanding shares of Common Stock, unless such Initial Holder has provided its prior written consent. Notwithstanding the foregoing, such consent shall be deemed given if (i) the Company provides such Initial Holder, at least five (5) Business Days prior to the record date for the Grant, written notice describing the Grant in reasonable detail and (ii) such Initial Holder does not notify the Company in writing within two (2) Business Days of receipt of such written notice, that the Grant would cause such Initial Holder, together with its Attribution Parties, to beneficially own in excess of 9.99% of the outstanding shares of Common Stock immediately after giving effect to the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Assumption Transactions</w:t>
      </w:r>
      <w:r>
        <w:rPr>
          <w:rFonts w:ascii="Times New Roman;Times;Serif" w:hAnsi="Times New Roman;Times;Serif"/>
          <w:b w:val="false"/>
          <w:i w:val="false"/>
          <w:caps w:val="false"/>
          <w:smallCaps w:val="false"/>
          <w:sz w:val="20"/>
        </w:rPr>
        <w:t>. The Company shall not enter into or be party to a Assumption Transaction unless the Successor Entity assumes in writing all of the obligations of the Company under this Warrant and the other Transaction Documents in accordance with the provisions of this Section 4(b) pursuant to written agreements that are, so long as any Initial Holder owns more than 50% of the Warrants that it held as of the Closing Date (as defined in the Underwriting Agreement), in form and substance satisfactory to each Initial Holder and approved by such Initial Holder (without unreasonable delay) prior to such Assumption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Assumption Transaction, and with an exercise price which applies the exercise price hereunder to such shares of capital stock (but taking into account the relative value of the shares of Common Stock pursuant to such Assumption Transaction and the value of such shares of capital stock, such adjustments to the number of shares of capital stock and such exercise price being for the purpose of protecting the economic value of this Warrant immediately prior to the consummation of such Assumption Transaction ). Upon the consummation of each Assumption Transaction, the Successor Entity shall succeed to, and be substituted for (so that from and after the date of the applicable Assumption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Assumption Transaction, the Successor Entity shall deliver to the Holder confirmation that there shall be issued upon exercise of this Warrant at any time after the consummation of the applicable Assumption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Assumption Transaction, such shares of common stock (or its equivalent) of the Successor Entity (including its Parent Entity) which the Holder would have been entitled to receive upon the happening of the applicable Assumption Transaction had this Warrant been exercised immediately prior to the applicable Assumption Transaction (without regard to any limitations on the exercise of this Warrant), as adjusted in accordance with the provisions of this Warrant. Notwithstanding the foregoing, and without limiting Section 1(e) hereof, the Holder may elect, at its sole option, by delivery of written notice to the Company to waive this Section 4(b) to permit the Assumption Transaction without the assumption of this Warrant. In addition to and not in substitution for any other rights hereunder, prior to the consummation of each Assumption Transaction pursuant to which holders of shares of Common Stock, as a class, are entitled to receive securities or other assets with respect to or in exchange for shares of Common Stock, the Company shall make appropriate provision to ensure that the Holder will thereafter have the right to receive upon an exercise of this Warrant at any time after the consummation of the applicable Assumption Transaction but prior to the applicable Expiration Date, in lieu of the shares of the Common Stock (or other securities, cash, assets or other property (except such items still issuable under Sections 3 and 4(a) above, which shall continue to be receivable thereafter)) issuable upon the exercise of the Warrant prior to such Assumption Transaction, such shares of stock, securities, cash, assets or any other property whatsoever (including warrants or other purchase or subscription rights) which the Holder would have been entitled to receive upon the happening of the applicable Assumption Transaction had this Warrant been exercised immediately prior to the applicable Assumption Transaction (without regard to any limitations on the exercise of this Warrant). Any provision made pursuant to the preceding sentence shall be in a form and substance reasonably satisfactory to any Initial Holder that owns more than 50% of the Warrants that it held as of the Closing Date (as defined in the Underwriting Agreement). For the avoidance of doubt, if holders of Common Stock, as a class, are given any choice as to the securities, cash or property to be received in an Assumption Transaction, then the Holder shall be given the same choice as to the consideration it receives upon any exercise of this Warrant following such Assumption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 Notwithstanding the foregoing and the provisions of Section 4(b) above, at the request of the Holder delivered at any time commencing on the earliest to occur of (x) the public disclosure of a Change of Control, (y) the consummation of a Change of Control and (z) the Holder first becoming aware of a Change of Control through the date that is sixty (60) days after the public disclosure of the consummation of such Change of Control by the Company pursuant to a Current Report on Form 8-K filed with the SEC, the Company or the Successor Entity (as the case may be) shall purchase this Warrant from the Holder on the date of such request by paying to the Holder cash in an amount equal to the Black Scholes Value, provided, however, that, if the Change of Control is not within the Company's control, including not approved by the Company's Board of Directors, the Holder shall only be entitled to receive from the Company or any Subject Entity the same type or form of consideration (and in the same proportion), at the Black Scholes Value of the unexercised portion of this Warrant, that is being offered and paid to the holders of Common Stock of the Company in connection with the Change of Control, whether that consideration be in the form of cash, stock or any combination thereof, or whether the holders of Common Stock are given the choice to receive from among alternative forms of consideration in connection with the Change of Control; provided, further, that if holders of Common Stock of the Company are not offered or paid any consideration in such Change of Control, such holders of Common Stock will be deemed to have received common stock of the Subject Entity (which Subject Entity may be the Company following such Change of Control) in such Change of Control. Payment of such cash or delivery of such other consideration, as applicable, shall be made by the Company (or at the Company’s direction) to the Holder on or prior to the later of (x) the second (2nd) Trading Day after the date of such request and (y) the date of consummation of such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The provisions of this Section 4 shall apply similarly and equally to successive Assumption Transactions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Sections 2, 3 and 4 shall be made to the nearest cent or the nearest 1/100th of a share, as the case may be. For purposes of Sections 2, 3 and 4,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and (iii) shall, so long as any of the Warrants are outstanding, take all action necessary to reserve and keep available out of its authorized and unissued shares of Common Stock, solely for the purpose of effecting the exercise of the Warrants, the number of shares of Common Stock as shall from time to time be necessary to effect the exercise of the Warrants then outstanding (without regard to any limitations on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WARRANT HOLDER NOT DEEMED A STOCKHOLDER</w:t>
      </w:r>
      <w:r>
        <w:rPr>
          <w:rFonts w:ascii="Times New Roman;Times;Serif" w:hAnsi="Times New Roman;Times;Serif"/>
          <w:b w:val="false"/>
          <w:i w:val="false"/>
          <w:caps w:val="false"/>
          <w:smallCaps w:val="false"/>
          <w:sz w:val="20"/>
        </w:rPr>
        <w:t>. Except as otherwise specifically provided herein, the Holder, solely in its capacity as a holder of this Warrant, shall not be entitled to vote or receive dividends or be deemed the holder of capital stock of the Company for any purpose, nor shall anything contained in this Warrant be construed to confer upon the Holder, solely in its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REISSUANCE OF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 Subject to compliance with any applicable securities laws, this Warrant and all rights hereunder are transferable, in whole or in part, upon surrender of this Warrant to the Company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7(a),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Issuance Date of this Warrant and shall be identical with this Warrant except as to the number of Warrant Shares issuable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Warrant Re</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ister</w:t>
      </w:r>
      <w:r>
        <w:rPr>
          <w:rFonts w:ascii="Times New Roman;Times;Serif" w:hAnsi="Times New Roman;Times;Serif"/>
          <w:b w:val="false"/>
          <w:i w:val="false"/>
          <w:caps w:val="false"/>
          <w:smallCaps w:val="false"/>
          <w:sz w:val="20"/>
        </w:rPr>
        <w:t>. The Company shall register this Warrant, upon records to be maintained by the Company for that purpose which may be maintained by the Warrant Agent on behalf of the Company (the “</w:t>
      </w:r>
      <w:r>
        <w:rPr>
          <w:rFonts w:ascii="Times New Roman;Times;Serif" w:hAnsi="Times New Roman;Times;Serif"/>
          <w:b/>
          <w:i w:val="false"/>
          <w:caps w:val="false"/>
          <w:smallCaps w:val="false"/>
          <w:sz w:val="20"/>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Whenever notice is required to be given under this Warrant, including, without limitation, an Exercise Notice, unless otherwise provided herein, such notice shall be given in writing, (i) if delivered (a) from within the domestic United States, by first-class registered or certified airmail, or nationally recognized overnight express courier, postage prepaid or electronic mail or (b) from outside the United States, by International Federal Express or electronic mail, and (ii) will be deemed given (A) if delivered by first-class registered or certified mail domestic, three (3) Business Days after so mailed, (B) if delivered by nationally recognized overnight carrier, one (1) Business Day after so mailed, (C) if delivered by International Federal Express, two (2) Business Days after so mailed and (D) at the time of transmission, if delivered by electronic mail to each of the email addresses specified in this Section 8 prior to 5:00 p.m. (New York time) on a Trading Day, and (E) the next Trading Day after the date of transmission, if delivered by electronic mail to each of the email addresses specified in this Section 8 on a day that is not a Trading Day or later than 5:00 p.m. (New York time) on any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the Company,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Centrus Energy Corp.</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6901 Rockledge Drive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800</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Bethesda, MD 20817</w:t>
        <w:br/>
        <w:t>Attention: Todd Tinelli, Chief Financial Officer</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generalcounsel@centrusenergy.com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O’Melveny &amp; Myers LLP</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 Avenue of the Americas</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10036</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Brophy C. Christensen</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bchristensen@omm.com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the Holder, at such address or other contact information delivered by the Holder to the Company or as is on the books and records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give written notice to the Holder, the Warrant Agent and the Transfer Agent (i) promptly after any adjustment of the Exercise Price, setting forth in reasonable detail, and certifying, the calculation of such adjustment and (ii) at least fifteen (15) days prior to the date on which the Company closes its books or takes a record (A) with respect to any dividend or distribution upon the shares of Common Stock or (B) for determining rights to vote with respect to any Fundamental Transaction, Assumption Transaction, dissolution or liquidation;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in each case that such information shall be made known to the public prior to or in conjunction with such notice being provided to the Holder. It is expressly understood and agreed that the time of exercise specified by the Holder in each Exercise Notice shall be definitive and may not be disputed or challenged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hts as Stockholder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1(a), except as expressly set forth in Sections 2, 3 and 4. Without limiting the rights of a Holder to receive Warrant Shares on a “cashless exercise” basis pursuant to Section 1(d), or to receive cash payments contemplated by Sections 1(a), 1(c) and 3 herein, in no event will the Company be required to net cash settle an exercise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covenants that so long as this Warrant remains outstanding, it will reserve from its authorized and unissued Common Stock a sufficient number of shares to provide for the issuance of the Warrant Shares upon the exercise of this Warrant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The Company further covenants that its issuance of this Warrant shall constitute full authority to its officers who are charged with the duty of issuing the necessary Warrant Shares upon the exercise of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this Warrant will, upon exercise hereunder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and to the extent waived or consented to by each Holder of outstanding Warrants in writing,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notwithstanding the foregoing, and not in limitation thereof, at any time while any of the Warrants remain outstanding, the Company does not have a sufficient number of authorized and unreserved shares of Common Stock to satisfy its obligation to reserve the Required Reserve Amount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immediately take all reasonable action necessary to increase the Company’s authorized shares of Common Stock to an amount sufficient to allow the Company to reserve the Required Reserve Amount for all the Warrants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14C.In the event the Company is unable to obtain stockholder approval for such increase in the number of authorized shares of Common Stock at the first stockholders’ meeting called for such purpose in accordance with the procedures set forth in this Section 9(c), the Company shall be required to use its reasonable best efforts to continue to follow such processes and to hold stockholder meetings for this purpose until such approval is obtained or the Authorized Share Failure is otherwise 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xml:space="preserve">. All questions concerning the construction, validity, enforcement and interpretation of this Warrant shall be governed by and construed and enforced in accordance with the internal laws of the State of New York, without giving effect to any provision or rule (whether of the State of New York or any other jurisdictions) that would cause the application of the laws of any jurisdictions other than the State of New York. The Company and, by accepting this Warrant, the Holder each agrees that all legal proceedings concerning the interpretations, enforcement and defense of the transactions contemplated by this Warrant (whether brought against the Company or the Holder or their respective affiliates, directors, officers, stockholders, partners, members, employees or agents) shall be commenced exclusively in the state and federal courts sitting in the City of New York. The Company and, by accepting this Warrant,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The Company and, by accepting this Warrant, the Holder each hereby irrevocably waives personal service of process and consents to process being served in any such suit, action or proceeding by mailing a copy thereof via registered or certified mail or overnight delivery (with evidence of delivery) to it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the Company or the Holder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w:t>
      </w:r>
      <w:r>
        <w:rPr>
          <w:rFonts w:ascii="Times New Roman;Times;Serif" w:hAnsi="Times New Roman;Times;Serif"/>
          <w:b/>
          <w:i w:val="false"/>
          <w:caps w:val="false"/>
          <w:smallCaps w:val="false"/>
          <w:sz w:val="20"/>
        </w:rPr>
        <w:t>EACH OF THE COMPANY AND EACH HOLDER HEREBY IRREVOCABLY WAIVES ANY RIGHT IT MAY HAVE, AND AGREES NOT TO REQUEST, A JURY TRIAL FOR THE ADJUDICATION OF ANY DISPUTE HEREUNDER OR IN CONNECTION WITH OR ARISING OUT OF THIS WARRANT OR ANY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Warrant Agent</w:t>
      </w:r>
      <w:r>
        <w:rPr>
          <w:rFonts w:ascii="Times New Roman;Times;Serif" w:hAnsi="Times New Roman;Times;Serif"/>
          <w:b w:val="false"/>
          <w:i w:val="false"/>
          <w:caps w:val="false"/>
          <w:smallCaps w:val="false"/>
          <w:sz w:val="20"/>
        </w:rPr>
        <w:t>. U.S. Bank Trust Company, National Association (“</w:t>
      </w:r>
      <w:r>
        <w:rPr>
          <w:rFonts w:ascii="Times New Roman;Times;Serif" w:hAnsi="Times New Roman;Times;Serif"/>
          <w:b/>
          <w:i w:val="false"/>
          <w:caps w:val="false"/>
          <w:smallCaps w:val="false"/>
          <w:sz w:val="20"/>
        </w:rPr>
        <w:t>US Bank</w:t>
      </w:r>
      <w:r>
        <w:rPr>
          <w:rFonts w:ascii="Times New Roman;Times;Serif" w:hAnsi="Times New Roman;Times;Serif"/>
          <w:b w:val="false"/>
          <w:i w:val="false"/>
          <w:caps w:val="false"/>
          <w:smallCaps w:val="false"/>
          <w:sz w:val="20"/>
        </w:rPr>
        <w:t>”) has been appointed to serve as warrant agent (the “</w:t>
      </w:r>
      <w:r>
        <w:rPr>
          <w:rFonts w:ascii="Times New Roman;Times;Serif" w:hAnsi="Times New Roman;Times;Serif"/>
          <w:b/>
          <w:i w:val="false"/>
          <w:caps w:val="false"/>
          <w:smallCaps w:val="false"/>
          <w:sz w:val="20"/>
        </w:rPr>
        <w:t>Warrant Agent</w:t>
      </w:r>
      <w:r>
        <w:rPr>
          <w:rFonts w:ascii="Times New Roman;Times;Serif" w:hAnsi="Times New Roman;Times;Serif"/>
          <w:b w:val="false"/>
          <w:i w:val="false"/>
          <w:caps w:val="false"/>
          <w:smallCaps w:val="false"/>
          <w:sz w:val="20"/>
        </w:rPr>
        <w:t>”) under this Warrant, pursuant to a warrant agent agreement between US Bank and the Company, dated September 11, 2026. Upon ten (10)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Remedies, Characterization, Other Obligations, Breaches and Injunctive Relief</w:t>
      </w:r>
      <w:r>
        <w:rPr>
          <w:rFonts w:ascii="Times New Roman;Times;Serif" w:hAnsi="Times New Roman;Times;Serif"/>
          <w:b w:val="false"/>
          <w:i w:val="false"/>
          <w:caps w:val="false"/>
          <w:smallCaps w:val="false"/>
          <w:sz w:val="20"/>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and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reasonably requested by the Holder to enable the Holder to confirm the Company’s compliance with the terms and conditions of this Warrant. The issuance of shares and certificates for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Payment of Collection, Enforcement and Other Costs</w:t>
      </w:r>
      <w:r>
        <w:rPr>
          <w:rFonts w:ascii="Times New Roman;Times;Serif" w:hAnsi="Times New Roman;Times;Serif"/>
          <w:b w:val="false"/>
          <w:i w:val="false"/>
          <w:caps w:val="false"/>
          <w:smallCaps w:val="false"/>
          <w:sz w:val="20"/>
        </w:rPr>
        <w:t>. If (a) this Warrant is placed in the hands of an attorney for collection or enforcement or is collected or enforced through any legal proceeding or the Holder otherwise takes action to collect amounts due under this Warrant or to enforce the provisions of this Warrant or (b) there occurs any bankruptcy, reorganization, receivership of the company or other proceedings affecting company creditors’ rights and involving a claim under this Warrant, then the Company shall pay the costs incurred by the Holder for such collection, enforcement or action or in connection with such bankruptcy, reorganization, receivership or other proceeding, including, without limitation, attorneys’ fees and disbursements.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Except for Section 1(e) and this Section 9(l) which may not be amended, modified or waived, this Warrant may be modified or amended or the provisions hereof waived with the written consent of the Company, on the one hand, and the Holder of a majority of the then outstanding Warrants,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Construction/Headings</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the Warrant. The headings of the sections and subsections of this Warrant are for convenience of reference only, are not to be considered a part hereof, and shall not limit, expand or otherwise affect the construction or interpretation of any provision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Upon delivery by the Company to the Holder (or receipt by the Company from the Holder) of any notice in accordance with the terms of this Warrant,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Absence of Tradin</w:t>
      </w: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and Disclosure Restrictions</w:t>
      </w:r>
      <w:r>
        <w:rPr>
          <w:rFonts w:ascii="Times New Roman;Times;Serif" w:hAnsi="Times New Roman;Times;Serif"/>
          <w:b w:val="false"/>
          <w:i w:val="false"/>
          <w:caps w:val="false"/>
          <w:smallCaps w:val="false"/>
          <w:sz w:val="20"/>
        </w:rPr>
        <w:t>.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Submission to Dispute Resolution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 dispute relating to the Exercise Price, the Bid Price, Black Scholes Value or fair market value or the arithmetic calculation of the number of Warrant Shares (as the case may be) (including, without limitation, a dispute relating to the determination of any of the foregoing), the Company or the Holder (as the case may be, the “</w:t>
      </w:r>
      <w:r>
        <w:rPr>
          <w:rFonts w:ascii="Times New Roman;Times;Serif" w:hAnsi="Times New Roman;Times;Serif"/>
          <w:b/>
          <w:i w:val="false"/>
          <w:caps w:val="false"/>
          <w:smallCaps w:val="false"/>
          <w:sz w:val="20"/>
        </w:rPr>
        <w:t>Submitting Party</w:t>
      </w:r>
      <w:r>
        <w:rPr>
          <w:rFonts w:ascii="Times New Roman;Times;Serif" w:hAnsi="Times New Roman;Times;Serif"/>
          <w:b w:val="false"/>
          <w:i w:val="false"/>
          <w:caps w:val="false"/>
          <w:smallCaps w:val="false"/>
          <w:sz w:val="20"/>
        </w:rPr>
        <w:t>”) shall submit the dispute to the other party via electronic 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Exercise Price, such Bid Price, such Black Scholes Value or such fair market value or such arithmetic calculation of the number of Warrant Shares (as the case may be), at any time after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Business Day following such initial notice by the Submitting Party of such dispute to the other party, then the Submitting Party may select an independent, reputable investment bank to resolve such dispute (subject to the other party’s consent, not to be unreasonably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Holder and the Company shall each deliver to such investment bank (A) a copy of the initial dispute submission so delivered in accordance with the first sentence of this Section 10 and (B) written documentation supporting its position with respect to such dispute, in each case, no later than 5:00 p.m. (New York time) by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immediately following the date on which the Holder selected such investment bank (the “</w:t>
      </w:r>
      <w:r>
        <w:rPr>
          <w:rFonts w:ascii="Times New Roman;Times;Serif" w:hAnsi="Times New Roman;Times;Serif"/>
          <w:b/>
          <w:i w:val="false"/>
          <w:caps w:val="false"/>
          <w:smallCaps w:val="false"/>
          <w:sz w:val="20"/>
        </w:rPr>
        <w:t>Dispute Submission Deadline</w:t>
      </w:r>
      <w:r>
        <w:rPr>
          <w:rFonts w:ascii="Times New Roman;Times;Serif" w:hAnsi="Times New Roman;Times;Serif"/>
          <w:b w:val="false"/>
          <w:i w:val="false"/>
          <w:caps w:val="false"/>
          <w:smallCaps w:val="false"/>
          <w:sz w:val="20"/>
        </w:rPr>
        <w:t>”) (the documents referred to in the immediately preceding clauses (A) and (B) are collectively referred to herein as the “</w:t>
      </w:r>
      <w:r>
        <w:rPr>
          <w:rFonts w:ascii="Times New Roman;Times;Serif" w:hAnsi="Times New Roman;Times;Serif"/>
          <w:b/>
          <w:i w:val="false"/>
          <w:caps w:val="false"/>
          <w:smallCaps w:val="false"/>
          <w:sz w:val="20"/>
        </w:rPr>
        <w:t>Required Dispute Documentation</w:t>
      </w:r>
      <w:r>
        <w:rPr>
          <w:rFonts w:ascii="Times New Roman;Times;Serif" w:hAnsi="Times New Roman;Times;Serif"/>
          <w:b w:val="false"/>
          <w:i w:val="false"/>
          <w:caps w:val="false"/>
          <w:smallCaps w:val="false"/>
          <w:sz w:val="20"/>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and the Holder shall cause such investment bank to determine the resolution of such dispute and notify the Company and the Holder of such resolution no later than ten (10) Business Days immediately following the Dispute Submission Deadline. The reasonable fees and expenses of such investment bank shall be borne solely by the Company, and such investment bank’s resolution of such dispute shall be final and binding upon all parties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The Company expressly acknowledges and agrees that (i) this Section 10 constitutes an agreement to arbitrate between the Company and the Holder (and constitutes an arbitration agreement) under the rules then in effect under § 7501, et seq. of the New York Civil Practice Law and Rules (“</w:t>
      </w:r>
      <w:r>
        <w:rPr>
          <w:rFonts w:ascii="Times New Roman;Times;Serif" w:hAnsi="Times New Roman;Times;Serif"/>
          <w:b/>
          <w:i w:val="false"/>
          <w:caps w:val="false"/>
          <w:smallCaps w:val="false"/>
          <w:sz w:val="20"/>
        </w:rPr>
        <w:t>CPLR</w:t>
      </w:r>
      <w:r>
        <w:rPr>
          <w:rFonts w:ascii="Times New Roman;Times;Serif" w:hAnsi="Times New Roman;Times;Serif"/>
          <w:b w:val="false"/>
          <w:i w:val="false"/>
          <w:caps w:val="false"/>
          <w:smallCaps w:val="false"/>
          <w:sz w:val="20"/>
        </w:rPr>
        <w:t>”) and that the Holder is authorized to apply for an order to compel arbitration pursuant to CPLR § 7503(a) in order to compel compliance with this Section 10, (ii) the terms of this Warrant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Warrant and any other applicable Transaction Documents, (iii) the Holder (and only the Holder), in its sole discretion, shall have the right to submit any dispute described in this Section 10 to any state or federal court sitting in The City of New York, Borough of Manhattan in lieu of utilizing the procedures set forth in this Section 10 and (iv) nothing in this Section 10 shall limit the Holder from obtaining any injunctive relief or other equitable remedies (including, without limitation, with respect to any matters described in this Section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Warrant,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that directly or indirectly controls, is controlled by, or is under common control with, such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Assumption Transaction” </w:t>
      </w:r>
      <w:r>
        <w:rPr>
          <w:rFonts w:ascii="Times New Roman;Times;Serif" w:hAnsi="Times New Roman;Times;Serif"/>
          <w:b w:val="false"/>
          <w:i w:val="false"/>
          <w:caps w:val="false"/>
          <w:smallCaps w:val="false"/>
          <w:sz w:val="20"/>
        </w:rPr>
        <w:t>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and its subsidiaries, taken as a whole, to one or more Subject Entities, or (iii) make, or allow one or more Subject Entities to make, or allow the Company to be subject to or have its Voting Stock be subject to or party to one or more Subject Entities making, a purchase, tender or exchange offer that is accepted by the holders of at least either (x) 50% of the aggregate ordinary voting power represented by issued and outstanding shares of Voting Stock, or (y) such number of shares of Voting Stock such that all Subject Entities making or party to, or Affiliated with any Subject Entity making or party to, such purchase, tender or exchange offer, become collectively the beneficial owners (as defined in Rule 13d-3 under the Exchange Act) of at least 50% of the aggregate ordinary voting power represented by issued and outstanding shares of Voting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aggregate ordinary voting power represented by issued and outstanding shares of Voting Stock or (y) such number of shares of Voting Stock such that the Subject Entities become collectively the beneficial owners (as defined in Rule 13d-3 under the Exchange Act) of at least 50% of the aggregate ordinary voting power represented by issued and outstanding shares of Voting Stock, or (v) reorganize, recapitalize or reclassify its Voting Stock in a transaction pursuant to which the Common Stock is converted into or exchanged for other securities, cash or property or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merger, consolidation, business combination, reorganization, recapitalization, spin- off, scheme of arrangement, reorganization, recapitalization or reclassification or otherwise in any manner whatsoever, of either (x) at least 50% of the aggregate ordinary voting power represented by issued and outstanding Voting Stock or (y) a percentage of the aggregate ordinary voting power represented by issued and outstanding shares of Voting Stock or other equity securities of the Company sufficient to allow such Subject Entities to effect a statutory short form merger or other transaction requiring other stockholders of the Company to surrender their shares of Voting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Subscription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Bid Price</w:t>
      </w:r>
      <w:r>
        <w:rPr>
          <w:rFonts w:ascii="Times New Roman;Times;Serif" w:hAnsi="Times New Roman;Times;Serif"/>
          <w:b w:val="false"/>
          <w:i w:val="false"/>
          <w:caps w:val="false"/>
          <w:smallCaps w:val="false"/>
          <w:sz w:val="20"/>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on the Pink Open Market as of such time of determination. If the Bid Price cannot be calculated for a security as of the particular time of determination on any of the foregoing bases, the Bid Price of such security as of such time of determination shall be the fair market value of such securities as determined by an independent appraiser selected in good faith by the Required Holders and reasonably acceptable to the Company, the fees and expenses of which shall be paid by the Company. All such determinations shall be appropriately adjusted for any stock dividend, stock split, stock combination or other similar transaction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Black Scholes Value</w:t>
      </w:r>
      <w:r>
        <w:rPr>
          <w:rFonts w:ascii="Times New Roman;Times;Serif" w:hAnsi="Times New Roman;Times;Serif"/>
          <w:b w:val="false"/>
          <w:i w:val="false"/>
          <w:caps w:val="false"/>
          <w:smallCaps w:val="false"/>
          <w:sz w:val="20"/>
        </w:rPr>
        <w:t>” means the value of this Warrant based on the Black-Scholes Option Pricing Model obtained from the “OV” function on Bloomberg determined as of the day of consummation of the applicable Change of Control for pricing purposes and reflecting (A) a risk-free interest rate corresponding to the U.S. Treasury rate for a period equal to the time between the date of the public announcement of the applicable Change of Control and the applicable Expiration Date, (B) an expected volatility equal to the 30-day volatility obtained from the HVT function on Bloomberg (determined utilizing a 365-day annualization factor) as of the Trading Day immediately following the public announcement of the applicable Change of Control, (C) the underlying price per share used in such calculation shall be the sum of the price per share being offered in cash, if any, plus the value of any non-cash consideration, if any, being offered in such Change of Control and (D) a remaining option time equal to the time between the date of the public announcement of the applicable Change of Control and the applicable Expiration Date and (E) a zero cost of borrow, in each case, determined separately for each outstanding Tranche, and aggregated.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Financial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 any Fundamental Transaction other than (i) any reorganization, recapitalization or reclassification of the Voting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(ii) pursuant to a migratory merger effected solely for the purpose of changing the jurisdiction of incorporation of the Company or (iii) an acquisition or a merger in connection with a bona fide acquisition by the Company of any Person in which (x) the gross consideration paid, directly or indirectly, by the Company in such acquisition or merger is not greater than 50% of the Company’s market capitalization as calculated on the date of the consummation of such acquisition or merger and (y) such acquisition or merger does not contemplate a change to the identity of a majority of the Board of Directors and the holders of the Company’s voting power eligible to elect a majority of the Board of Directors immediately prior to such transaction, directly or indirectly, are, in all material respects, the holders of the voting power of the surviving entity with voting power to elect a majority of the members of the Board of Directors (or entities with the authority or voting power to elect the majority of the members of the Board of Directors (or their equivalent if other than a corporation) of such entity or entities) after such transaction, as applicable. Notwithstanding anything herein to the contrary, any transaction or series of transactions that, directly or indirectly, results in the Company or the Successor Entity not having Common Stock or common stock, as applicable, registered under the Exchange Act and listed on an Eligible Market shall be deemed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(i) the Company’s Class A Common Stock, par value $0.10 per share, and (ii) any capital stock into which such Common Stock shall have been changed or any capital stock resulting from a reclassification of such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securities (other than Options) directly or indirectly convertible into or exercisable or exchangeable for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New York Stock Exchange, Inc., The NASDAQ Capital Market, the NYSE American LLC, The NASDAQ Global Select Market, or The NASDAQ Global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xml:space="preserve">” means, with respect to any Tranche, the date set forth for such Tranche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or, if such date falls on a day other than a Business Day or on which trading does not take place on the Principal Market (a “</w:t>
      </w:r>
      <w:r>
        <w:rPr>
          <w:rFonts w:ascii="Times New Roman;Times;Serif" w:hAnsi="Times New Roman;Times;Serif"/>
          <w:b/>
          <w:i w:val="false"/>
          <w:caps w:val="false"/>
          <w:smallCaps w:val="false"/>
          <w:sz w:val="20"/>
        </w:rPr>
        <w:t>Holiday</w:t>
      </w:r>
      <w:r>
        <w:rPr>
          <w:rFonts w:ascii="Times New Roman;Times;Serif" w:hAnsi="Times New Roman;Times;Serif"/>
          <w:b w:val="false"/>
          <w:i w:val="false"/>
          <w:caps w:val="false"/>
          <w:smallCaps w:val="false"/>
          <w:sz w:val="20"/>
        </w:rPr>
        <w:t>”), the next day that is not a Holiday.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(i) the Company, directly or indirectly, in one or more related transactions effects any merger or consolidation of the Company with or into another entity,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 third party) is completed pursuant to which holders of Voting Stock are permitted to sell, tender, or exchange their shares for other securities, cash, or property and has been accepted by the holders of greater than 50% of the outstanding Voting Stock and greater than 50% of the voting power of all outstanding Voting Stock, on an as-converted basis, of the Company, (iv) the Company, directly or indirectly, in one or more related transactions effects any reclassification, reorganization, or recapitalization of Voting Stock or any compulsory share exchange pursuant to which the Voting Stock is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entity whereby such other entity acquires greater than 50% of the outstanding Voting Stock and greater than 50% of the voting power of all outstanding securities with voting rights, on an as-converted basis, of the Company, or (vi)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 provided that no instrument or transaction shall constitute a Fundamental Transaction pursuant to this clause (vi) unless the consummation thereof results in a change in control of the Company for purposes of U.S.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Exchange Act and as defined in Rule 13d-5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Holder”</w:t>
      </w:r>
      <w:r>
        <w:rPr>
          <w:rFonts w:ascii="Times New Roman;Times;Serif" w:hAnsi="Times New Roman;Times;Serif"/>
          <w:b w:val="false"/>
          <w:i w:val="false"/>
          <w:caps w:val="false"/>
          <w:smallCaps w:val="false"/>
          <w:sz w:val="20"/>
        </w:rPr>
        <w:t xml:space="preserve"> means any Person that purchased at least $300,000,000 of Common Stock or prefunded warrants of the Company on the Closing Date (as defined in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shares of Common Stock or Convertible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including such entity whose common stock or equivalent equity security is quoted or listed on a Trading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Assumption Transaction or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limited liability company, a partnership, a joint venture, a corporation, a trust, an unincorporated organization, any other entity and a government or any department or agency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NYSE (or any successors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Holders</w:t>
      </w:r>
      <w:r>
        <w:rPr>
          <w:rFonts w:ascii="Times New Roman;Times;Serif" w:hAnsi="Times New Roman;Times;Serif"/>
          <w:b w:val="false"/>
          <w:i w:val="false"/>
          <w:caps w:val="false"/>
          <w:smallCaps w:val="false"/>
          <w:sz w:val="20"/>
        </w:rPr>
        <w:t>” means the holders of the Warrants representing at least a majority of the shares of Common Stock underlying the Warrants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Standard Settlement Period” </w:t>
      </w:r>
      <w:r>
        <w:rPr>
          <w:rFonts w:ascii="Times New Roman;Times;Serif" w:hAnsi="Times New Roman;Times;Serif"/>
          <w:b w:val="false"/>
          <w:i w:val="false"/>
          <w:caps w:val="false"/>
          <w:smallCaps w:val="false"/>
          <w:sz w:val="20"/>
        </w:rPr>
        <w:t>means the standard settlement period, expressed in a number of Trading Days, for the Company’s primary trading market or quotation system with respect to the Common Stock that is in effect on the date of receipt of an applicable Exercise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one or more Person or Persons (or, if so elected by the Holder, the Company or Parent Entity) formed by, resulting from or surviving any Assumption Transaction or Change of Control or one or more Person or Persons (or, if so elected by the Holder, the Company or the Parent Entity) with which such Assumption Transaction or Change of Control shall have been entered into.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any day on which the Common Stock is traded on the Principal Market, or, if the Principal Market is not the principal trading market for the Common Stock, then on the principal securities exchange or securities market on which the Common Stock is then traded.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the Nasdaq Capital Market, the Nasdaq Global Market or the Nasdaq Global Select Market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Tranche</w:t>
      </w:r>
      <w:r>
        <w:rPr>
          <w:rFonts w:ascii="Times New Roman;Times;Serif" w:hAnsi="Times New Roman;Times;Serif"/>
          <w:b w:val="false"/>
          <w:i w:val="false"/>
          <w:caps w:val="false"/>
          <w:smallCaps w:val="false"/>
          <w:sz w:val="20"/>
        </w:rPr>
        <w:t xml:space="preserve">” means each tranche of Warrant Shares identified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with the number of Warrant Shares and Expiration Date applicable thereto as set forth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means any agreement entered into by and between the Company and the Holder, as applicable, in connection with the offer and sale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Voting Stock</w:t>
      </w:r>
      <w:r>
        <w:rPr>
          <w:rFonts w:ascii="Times New Roman;Times;Serif" w:hAnsi="Times New Roman;Times;Serif"/>
          <w:b w:val="false"/>
          <w:i w:val="false"/>
          <w:caps w:val="false"/>
          <w:smallCaps w:val="false"/>
          <w:sz w:val="20"/>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Required Holders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Company has caused this Warrant to purchase Common Stock to be duly executed as of the Issuance Date set out above.</w:t>
      </w:r>
    </w:p>
    <w:p>
      <w:pPr>
        <w:pStyle w:val="TextBody"/>
        <w:bidi w:val="0"/>
        <w:spacing w:before="0" w:after="0"/>
        <w:ind w:left="0" w:right="0" w:hanging="0"/>
        <w:jc w:val="left"/>
        <w:rPr>
          <w:caps w:val="false"/>
          <w:smallCaps w:val="false"/>
        </w:rPr>
      </w:pPr>
      <w:r>
        <w:rPr>
          <w:caps w:val="false"/>
          <w:smallCaps w:val="false"/>
        </w:rPr>
        <w:t> </w:t>
      </w:r>
    </w:p>
    <w:tbl>
      <w:tblPr>
        <w:tblW w:w="2419" w:type="dxa"/>
        <w:jc w:val="left"/>
        <w:tblInd w:w="0" w:type="dxa"/>
        <w:tblLayout w:type="fixed"/>
        <w:tblCellMar>
          <w:top w:w="0" w:type="dxa"/>
          <w:left w:w="0" w:type="dxa"/>
          <w:bottom w:w="0" w:type="dxa"/>
          <w:right w:w="0" w:type="dxa"/>
        </w:tblCellMar>
      </w:tblPr>
      <w:tblGrid>
        <w:gridCol w:w="75"/>
        <w:gridCol w:w="1794"/>
        <w:gridCol w:w="550"/>
      </w:tblGrid>
      <w:tr>
        <w:trPr/>
        <w:tc>
          <w:tcPr>
            <w:tcW w:w="75"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CENTRUS ENERGY CORP.</w:t>
            </w:r>
          </w:p>
        </w:tc>
      </w:tr>
      <w:tr>
        <w:trPr/>
        <w:tc>
          <w:tcPr>
            <w:tcW w:w="75"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7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tab/>
            </w:r>
          </w:p>
        </w:tc>
        <w:tc>
          <w:tcPr>
            <w:tcW w:w="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17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tab/>
            </w:r>
          </w:p>
        </w:tc>
        <w:tc>
          <w:tcPr>
            <w:tcW w:w="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Warrant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 – Tranche Schedule</w:t>
      </w:r>
    </w:p>
    <w:p>
      <w:pPr>
        <w:pStyle w:val="TextBody"/>
        <w:bidi w:val="0"/>
        <w:spacing w:before="0" w:after="0"/>
        <w:ind w:left="0" w:right="0" w:hanging="0"/>
        <w:jc w:val="left"/>
        <w:rPr>
          <w:caps w:val="false"/>
          <w:smallCaps w:val="false"/>
        </w:rPr>
      </w:pPr>
      <w:r>
        <w:rPr>
          <w:caps w:val="false"/>
          <w:smallCaps w:val="false"/>
        </w:rPr>
        <w:t> </w:t>
      </w:r>
    </w:p>
    <w:tbl>
      <w:tblPr>
        <w:tblW w:w="4860" w:type="dxa"/>
        <w:jc w:val="left"/>
        <w:tblInd w:w="-10" w:type="dxa"/>
        <w:tblLayout w:type="fixed"/>
        <w:tblCellMar>
          <w:top w:w="28" w:type="dxa"/>
          <w:left w:w="108" w:type="dxa"/>
          <w:bottom w:w="28" w:type="dxa"/>
          <w:right w:w="108" w:type="dxa"/>
        </w:tblCellMar>
      </w:tblPr>
      <w:tblGrid>
        <w:gridCol w:w="1085"/>
        <w:gridCol w:w="2375"/>
        <w:gridCol w:w="1400"/>
      </w:tblGrid>
      <w:tr>
        <w:trPr/>
        <w:tc>
          <w:tcPr>
            <w:tcW w:w="10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Tranche No.</w:t>
            </w:r>
          </w:p>
        </w:tc>
        <w:tc>
          <w:tcPr>
            <w:tcW w:w="23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Number of Warrant Shares </w:t>
            </w:r>
          </w:p>
        </w:tc>
        <w:tc>
          <w:tcPr>
            <w:tcW w:w="14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Expiration Date</w:t>
            </w:r>
          </w:p>
        </w:tc>
      </w:tr>
      <w:tr>
        <w:trPr/>
        <w:tc>
          <w:tcPr>
            <w:tcW w:w="10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3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0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3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0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23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i/>
                <w:sz w:val="20"/>
              </w:rPr>
            </w:pPr>
            <w:r>
              <w:rPr>
                <w:rFonts w:ascii="Times New Roman;Times;Serif" w:hAnsi="Times New Roman;Times;Serif"/>
                <w:b/>
                <w:i/>
                <w:sz w:val="20"/>
              </w:rPr>
              <w:t>Total:</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EXECUTED BY THE REGISTERED HOLDER TO EXERCISE THIS</w:t>
        <w:br/>
        <w:t>WARRANT TO PURCHASE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CENTRUS ENERGY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hereby exercises the right to purchase [  ] shares of Common Stock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of CENTRUS ENERGY CORP., a corporation organized under the laws of the State of Delaware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evidenced by the attached Warrant to Purchase Common Stock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Capitalized terms used herein and not otherwise defined shall have the respective meanings set forth in the Warrant.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18"/>
        <w:gridCol w:w="9946"/>
      </w:tblGrid>
      <w:tr>
        <w:trPr/>
        <w:tc>
          <w:tcPr>
            <w:tcW w:w="4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1.</w:t>
            </w:r>
          </w:p>
        </w:tc>
        <w:tc>
          <w:tcPr>
            <w:tcW w:w="9946" w:type="dxa"/>
            <w:tcBorders/>
            <w:vAlign w:val="center"/>
          </w:tcPr>
          <w:p>
            <w:pPr>
              <w:pStyle w:val="TableContents"/>
              <w:bidi w:val="0"/>
              <w:spacing w:before="0" w:after="283"/>
              <w:jc w:val="both"/>
              <w:rPr/>
            </w:pPr>
            <w:r>
              <w:rPr>
                <w:u w:val="single"/>
              </w:rPr>
              <w:t>Form of Exercise Price</w:t>
            </w:r>
            <w:r>
              <w:rPr/>
              <w:t>. The Holder intends that payment of the Exercise Price shall be made as: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49"/>
        <w:gridCol w:w="9808"/>
      </w:tblGrid>
      <w:tr>
        <w:trPr/>
        <w:tc>
          <w:tcPr>
            <w:tcW w:w="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pPr>
            <w:r>
              <w:rPr/>
              <w:t>(a)</w:t>
            </w:r>
          </w:p>
        </w:tc>
        <w:tc>
          <w:tcPr>
            <w:tcW w:w="9808" w:type="dxa"/>
            <w:tcBorders/>
            <w:vAlign w:val="center"/>
          </w:tcPr>
          <w:p>
            <w:pPr>
              <w:pStyle w:val="TableContents"/>
              <w:bidi w:val="0"/>
              <w:spacing w:before="0" w:after="283"/>
              <w:jc w:val="both"/>
              <w:rPr/>
            </w:pPr>
            <w:r>
              <w:rPr/>
              <w:t>a “</w:t>
            </w:r>
            <w:r>
              <w:rPr>
                <w:u w:val="single"/>
              </w:rPr>
              <w:t>Cash Exercise</w:t>
            </w:r>
            <w:r>
              <w:rPr/>
              <w:t>” with respect to Warrant Shares within Tranche No. [   ]; and/or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83"/>
        <w:gridCol w:w="9772"/>
      </w:tblGrid>
      <w:tr>
        <w:trPr/>
        <w:tc>
          <w:tcPr>
            <w:tcW w:w="5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pPr>
            <w:r>
              <w:rPr/>
              <w:t>(b)</w:t>
            </w:r>
          </w:p>
        </w:tc>
        <w:tc>
          <w:tcPr>
            <w:tcW w:w="9772" w:type="dxa"/>
            <w:tcBorders/>
            <w:vAlign w:val="center"/>
          </w:tcPr>
          <w:p>
            <w:pPr>
              <w:pStyle w:val="TableContents"/>
              <w:bidi w:val="0"/>
              <w:spacing w:before="0" w:after="283"/>
              <w:jc w:val="both"/>
              <w:rPr/>
            </w:pPr>
            <w:r>
              <w:rPr/>
              <w:t>a “</w:t>
            </w:r>
            <w:r>
              <w:rPr>
                <w:u w:val="single"/>
              </w:rPr>
              <w:t>Cashless Exercise</w:t>
            </w:r>
            <w:r>
              <w:rPr/>
              <w:t>” with respect to Warrant Shares within Tranche No. [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1(d) the Holder [is][is not] exercising its option to have the VWAP determined by reference to [the VWAP on the Trading Day immediately preceding the date of the applicable Exercise Notice] or [the Bid Price of the Common Stock on the principal Trading Market as reported by Bloomberg as of the time of the Holder’s execution of the applicable Exercise Notice if such Exercise Notice is executed during “regular trading hours” on a Trading Day and is delivered within two (2) hours thereafter (including until two (2) hours after the close of “regular trading hours” on a Trading Day) pursuant to Section 1(d) of the Warrant].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u w:val="single"/>
              </w:rPr>
              <w:t>Payment of Exercise Price</w:t>
            </w:r>
            <w:r>
              <w:rPr/>
              <w:t xml:space="preserve">. In the event that </w:t>
            </w:r>
            <w:r>
              <w:rPr>
                <w:u w:val="single"/>
              </w:rPr>
              <w:t>the</w:t>
            </w:r>
            <w:r>
              <w:rPr/>
              <w:t xml:space="preserve"> holder has elected a Cash Exercise with respect to some or all of the Warrant Shares to be issued pursuant hereto, the holder shall pay the Aggregate Exercise Price in the sum of $[   ] to the Company in accordance with the terms of the Warrant.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3.</w:t>
            </w:r>
          </w:p>
        </w:tc>
        <w:tc>
          <w:tcPr>
            <w:tcW w:w="10020" w:type="dxa"/>
            <w:tcBorders/>
            <w:vAlign w:val="center"/>
          </w:tcPr>
          <w:p>
            <w:pPr>
              <w:pStyle w:val="TableContents"/>
              <w:bidi w:val="0"/>
              <w:spacing w:before="0" w:after="283"/>
              <w:jc w:val="both"/>
              <w:rPr/>
            </w:pPr>
            <w:r>
              <w:rPr>
                <w:u w:val="single"/>
              </w:rPr>
              <w:t>Beneficial Ownership Representation</w:t>
            </w:r>
            <w:r>
              <w:rPr/>
              <w:t>. Notwithstanding anything to the contrary contained herein, this Exercise Notice shall constitute a representation by the Holder of the Warrant submitting this Exercise Notice that after giving effect to the exercise provided for in this Exercise Notice, such Holder (together with its affiliates) will not have beneficial ownership (together with the beneficial ownership of such Person’s affiliates) of a number of shares of Common Stock which exceeds the Maximum Percentage (as defined in the Warrant) of the total outstanding shares of Common Stock of the Company as determined pursuant to the provisions of Section 1(e) of the Warrant.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4.</w:t>
            </w:r>
          </w:p>
        </w:tc>
        <w:tc>
          <w:tcPr>
            <w:tcW w:w="9983" w:type="dxa"/>
            <w:tcBorders/>
            <w:vAlign w:val="center"/>
          </w:tcPr>
          <w:p>
            <w:pPr>
              <w:pStyle w:val="TableContents"/>
              <w:bidi w:val="0"/>
              <w:spacing w:before="0" w:after="283"/>
              <w:jc w:val="both"/>
              <w:rPr/>
            </w:pPr>
            <w:r>
              <w:rPr>
                <w:u w:val="single"/>
              </w:rPr>
              <w:t>Delivery of Warrant Shares</w:t>
            </w:r>
            <w:r>
              <w:rPr/>
              <w:t>. The Company shall deliver to the holder [   ] Warrant Shares in accordance with the terms of the Warrant.</w:t>
            </w:r>
          </w:p>
        </w:tc>
      </w:tr>
    </w:tbl>
    <w:p>
      <w:pPr>
        <w:pStyle w:val="TextBody"/>
        <w:bidi w:val="0"/>
        <w:spacing w:before="0" w:after="0"/>
        <w:ind w:left="0" w:right="0" w:hanging="0"/>
        <w:jc w:val="left"/>
        <w:rPr>
          <w:caps w:val="false"/>
          <w:smallCaps w:val="false"/>
        </w:rPr>
      </w:pPr>
      <w:r>
        <w:rPr>
          <w:caps w:val="false"/>
          <w:smallCaps w:val="false"/>
        </w:rPr>
        <w:t> </w:t>
      </w:r>
    </w:p>
    <w:tbl>
      <w:tblPr>
        <w:tblW w:w="670" w:type="dxa"/>
        <w:jc w:val="left"/>
        <w:tblInd w:w="0" w:type="dxa"/>
        <w:tblLayout w:type="fixed"/>
        <w:tblCellMar>
          <w:top w:w="0" w:type="dxa"/>
          <w:left w:w="0" w:type="dxa"/>
          <w:bottom w:w="0" w:type="dxa"/>
          <w:right w:w="0" w:type="dxa"/>
        </w:tblCellMar>
      </w:tblPr>
      <w:tblGrid>
        <w:gridCol w:w="530"/>
        <w:gridCol w:w="80"/>
        <w:gridCol w:w="60"/>
      </w:tblGrid>
      <w:tr>
        <w:trPr/>
        <w:tc>
          <w:tcPr>
            <w:tcW w:w="530" w:type="dxa"/>
            <w:tcBorders/>
            <w:vAlign w:val="center"/>
          </w:tcPr>
          <w:p>
            <w:pPr>
              <w:pStyle w:val="TableContents"/>
              <w:bidi w:val="0"/>
              <w:spacing w:before="0" w:after="283"/>
              <w:jc w:val="left"/>
              <w:rPr/>
            </w:pPr>
            <w:r>
              <w:rPr/>
              <w:t>Date:</w:t>
            </w:r>
          </w:p>
        </w:tc>
        <w:tc>
          <w:tcPr>
            <w:tcW w:w="80"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690" w:type="dxa"/>
        <w:jc w:val="left"/>
        <w:tblInd w:w="0" w:type="dxa"/>
        <w:tblLayout w:type="fixed"/>
        <w:tblCellMar>
          <w:top w:w="28" w:type="dxa"/>
          <w:left w:w="0" w:type="dxa"/>
          <w:bottom w:w="0" w:type="dxa"/>
          <w:right w:w="0" w:type="dxa"/>
        </w:tblCellMar>
      </w:tblPr>
      <w:tblGrid>
        <w:gridCol w:w="2630"/>
        <w:gridCol w:w="60"/>
      </w:tblGrid>
      <w:tr>
        <w:trPr/>
        <w:tc>
          <w:tcPr>
            <w:tcW w:w="2630" w:type="dxa"/>
            <w:tcBorders>
              <w:top w:val="single" w:sz="8" w:space="0" w:color="000000"/>
            </w:tcBorders>
            <w:vAlign w:val="center"/>
          </w:tcPr>
          <w:p>
            <w:pPr>
              <w:pStyle w:val="TableContents"/>
              <w:bidi w:val="0"/>
              <w:spacing w:before="0" w:after="283"/>
              <w:jc w:val="left"/>
              <w:rPr/>
            </w:pPr>
            <w:r>
              <w:rPr/>
              <w:t>Name of Registered Holder</w:t>
            </w:r>
          </w:p>
        </w:tc>
        <w:tc>
          <w:tcPr>
            <w:tcW w:w="60" w:type="dxa"/>
            <w:tcBorders/>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335"/>
        <w:gridCol w:w="545"/>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tab/>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tab/>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this Exercise Notice and hereby directs [•] to issue the above indicated number of shares of Common Stock on or prior to the applicable Share Delivery Date.</w:t>
      </w:r>
    </w:p>
    <w:p>
      <w:pPr>
        <w:pStyle w:val="TextBody"/>
        <w:bidi w:val="0"/>
        <w:spacing w:before="0" w:after="0"/>
        <w:ind w:left="0" w:right="0" w:hanging="0"/>
        <w:jc w:val="left"/>
        <w:rPr>
          <w:caps w:val="false"/>
          <w:smallCaps w:val="false"/>
        </w:rPr>
      </w:pPr>
      <w:r>
        <w:rPr>
          <w:caps w:val="false"/>
          <w:smallCaps w:val="false"/>
        </w:rPr>
        <w:t> </w:t>
      </w:r>
    </w:p>
    <w:tbl>
      <w:tblPr>
        <w:tblW w:w="2419" w:type="dxa"/>
        <w:jc w:val="left"/>
        <w:tblInd w:w="0" w:type="dxa"/>
        <w:tblLayout w:type="fixed"/>
        <w:tblCellMar>
          <w:top w:w="0" w:type="dxa"/>
          <w:left w:w="0" w:type="dxa"/>
          <w:bottom w:w="0" w:type="dxa"/>
          <w:right w:w="0" w:type="dxa"/>
        </w:tblCellMar>
      </w:tblPr>
      <w:tblGrid>
        <w:gridCol w:w="75"/>
        <w:gridCol w:w="1819"/>
        <w:gridCol w:w="525"/>
      </w:tblGrid>
      <w:tr>
        <w:trPr/>
        <w:tc>
          <w:tcPr>
            <w:tcW w:w="75"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CENTRUS ENERGY CORP.</w:t>
            </w:r>
          </w:p>
        </w:tc>
      </w:tr>
      <w:tr>
        <w:trPr/>
        <w:tc>
          <w:tcPr>
            <w:tcW w:w="75"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2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tab/>
            </w:r>
          </w:p>
        </w:tc>
      </w:tr>
      <w:tr>
        <w:trPr/>
        <w:tc>
          <w:tcPr>
            <w:tcW w:w="75"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tab/>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exercise the Warrant to purchase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bl>
      <w:tblPr>
        <w:tblW w:w="770" w:type="dxa"/>
        <w:jc w:val="left"/>
        <w:tblInd w:w="0" w:type="dxa"/>
        <w:tblLayout w:type="fixed"/>
        <w:tblCellMar>
          <w:top w:w="0" w:type="dxa"/>
          <w:left w:w="0" w:type="dxa"/>
          <w:bottom w:w="0" w:type="dxa"/>
          <w:right w:w="0" w:type="dxa"/>
        </w:tblCellMar>
      </w:tblPr>
      <w:tblGrid>
        <w:gridCol w:w="650"/>
        <w:gridCol w:w="60"/>
        <w:gridCol w:w="60"/>
      </w:tblGrid>
      <w:tr>
        <w:trPr/>
        <w:tc>
          <w:tcPr>
            <w:tcW w:w="650" w:type="dxa"/>
            <w:tcBorders/>
            <w:vAlign w:val="center"/>
          </w:tcPr>
          <w:p>
            <w:pPr>
              <w:pStyle w:val="TableContents"/>
              <w:bidi w:val="0"/>
              <w:spacing w:before="0" w:after="283"/>
              <w:jc w:val="left"/>
              <w:rPr/>
            </w:pPr>
            <w:r>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bookmarkStart w:id="27" w:name="tm2625019d5_ex4-2.htm"/>
      <w:bookmarkStart w:id="28" w:name="kstm2625019d5_ex42"/>
      <w:bookmarkEnd w:id="27"/>
      <w:bookmarkEnd w:id="28"/>
      <w:r>
        <w:rPr/>
        <w:t> </w:t>
      </w:r>
      <w:r>
        <w:br w:type="page"/>
      </w:r>
    </w:p>
    <w:p>
      <w:pPr>
        <w:pStyle w:val="TextBody"/>
        <w:bidi w:val="0"/>
        <w:jc w:val="right"/>
        <w:rPr>
          <w:b/>
        </w:rPr>
      </w:pPr>
      <w:r>
        <w:rPr>
          <w:b/>
        </w:rPr>
        <w:t>Exhibit 4.2</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CENTRUS ENERGY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Pre-Funded Warrant To Purchase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Number of Shares of Common Stock: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Issuance: September 11, 2026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Centrus Energy Corp., a corporation organized under the laws of the State of Delaware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certifies that, for good and valuable consideration, the receipt and sufficiency of which are hereby acknowledged,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the registered holder hereof or its permitted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is entitled, subject to the terms set forth below, to purchase from the Company, at the Exercise Price (as defined below) then in effect, at any time or times on or after the Issuance Date, but not after 11:59 p.m., New York City time, on the Expiration Date (as defined below), up to an aggregate of 2,005,513 fully paid non-assessable shares of Common Stock (as defined below), subject to adjustment as provided herein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Except as otherwise defined herein, capitalized terms in this Warrant to purchase Common Stock (including any Warrants to purchase Common Stock issued in exchange, transfer or replacement hereof, this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shall have the meanings set forth in Section 11. This Warrant is one of the Warrants to purchase Common Stock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issued pursuant to (i) that certain Underwriting Agreement, dated September 9, 2026 (the “</w:t>
      </w:r>
      <w:r>
        <w:rPr>
          <w:rFonts w:ascii="Times New Roman;Times;Serif" w:hAnsi="Times New Roman;Times;Serif"/>
          <w:b/>
          <w:i w:val="false"/>
          <w:caps w:val="false"/>
          <w:smallCaps w:val="false"/>
          <w:sz w:val="20"/>
        </w:rPr>
        <w:t>Subscription Date</w:t>
      </w:r>
      <w:r>
        <w:rPr>
          <w:rFonts w:ascii="Times New Roman;Times;Serif" w:hAnsi="Times New Roman;Times;Serif"/>
          <w:b w:val="false"/>
          <w:i w:val="false"/>
          <w:caps w:val="false"/>
          <w:smallCaps w:val="false"/>
          <w:sz w:val="20"/>
        </w:rPr>
        <w:t>”), by and between the Company and Guggenheim Securities, LLC, as representative of the several underwriters named therein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(ii) the Company’s Registration Statement on Form S-3ASR (File No. 333-291305)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and related prospectus included therein and (iii) the Company’s prospectus supplement, dated September 9, 2026.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the Aggregate Exercise Price (as defined below) of this Warrant, except for a nominal exercise price of $0.10 per Warrant Share (the “</w:t>
      </w:r>
      <w:r>
        <w:rPr>
          <w:rFonts w:ascii="Times New Roman;Times;Serif" w:hAnsi="Times New Roman;Times;Serif"/>
          <w:b/>
          <w:i w:val="false"/>
          <w:caps w:val="false"/>
          <w:smallCaps w:val="false"/>
          <w:sz w:val="20"/>
        </w:rPr>
        <w:t>Nominal Exercise Price</w:t>
      </w:r>
      <w:r>
        <w:rPr>
          <w:rFonts w:ascii="Times New Roman;Times;Serif" w:hAnsi="Times New Roman;Times;Serif"/>
          <w:b w:val="false"/>
          <w:i w:val="false"/>
          <w:caps w:val="false"/>
          <w:smallCaps w:val="false"/>
          <w:sz w:val="20"/>
        </w:rPr>
        <w:t>”), was pre-funded to the Company on or prior to the initial Issuance Date and, consequently, no additional consideration (other than the Nominal Exercise Price per Warrant Share) shall be required to be paid by the Holder to any Person to effect any exercise of this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EXERCISE OF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 Subject to the terms and conditions hereof (including, without limitation, the limitations set forth in Section 1(e)), this Warrant may be exercised by the Holder at any time or times on or after the Issuance Date (an “</w:t>
      </w:r>
      <w:r>
        <w:rPr>
          <w:rFonts w:ascii="Times New Roman;Times;Serif" w:hAnsi="Times New Roman;Times;Serif"/>
          <w:b/>
          <w:i w:val="false"/>
          <w:caps w:val="false"/>
          <w:smallCaps w:val="false"/>
          <w:sz w:val="20"/>
        </w:rPr>
        <w:t>Exercise Date</w:t>
      </w:r>
      <w:r>
        <w:rPr>
          <w:rFonts w:ascii="Times New Roman;Times;Serif" w:hAnsi="Times New Roman;Times;Serif"/>
          <w:b w:val="false"/>
          <w:i w:val="false"/>
          <w:caps w:val="false"/>
          <w:smallCaps w:val="false"/>
          <w:sz w:val="20"/>
        </w:rPr>
        <w:t xml:space="preserve">”), in whole or in part, by delivery (whether via electronic mail or otherwise) of a written notice,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of the Holder’s election to exercise this Warrant. Within one (1) Trading Day following the delivery of the Exercise Notice, the Holder shall make payment to the Company of an amount equal to the Exercise Price in effect on the date of such exercise multiplied by the number of Warrant Shares as to which this Warrant is being exercised (the “</w:t>
      </w:r>
      <w:r>
        <w:rPr>
          <w:rFonts w:ascii="Times New Roman;Times;Serif" w:hAnsi="Times New Roman;Times;Serif"/>
          <w:b/>
          <w:i w:val="false"/>
          <w:caps w:val="false"/>
          <w:smallCaps w:val="false"/>
          <w:sz w:val="20"/>
        </w:rPr>
        <w:t>Aggregate Exercise Price</w:t>
      </w:r>
      <w:r>
        <w:rPr>
          <w:rFonts w:ascii="Times New Roman;Times;Serif" w:hAnsi="Times New Roman;Times;Serif"/>
          <w:b w:val="false"/>
          <w:i w:val="false"/>
          <w:caps w:val="false"/>
          <w:smallCaps w:val="false"/>
          <w:sz w:val="20"/>
        </w:rPr>
        <w:t>”) in cash by wire transfer of immediately available funds or, if the provisions of Section 1(d) are applicable, by notifying the Company pursuant to the Exercise Notice that this Warrant is being exercised pursuant to a Cashless Exercise (as defined in Section 1(d)). Execution and delivery of the Exercise Notice with respect to less than all of the Warrant Shares shall have the same effect as cancellation of the original Warrant and issuance of a new Warrant evidencing the right to purchase the remaining number of Warrant Shares and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five (5) Trading Days of the date on which the final Exercise Notice has been delivered to the Company. On or before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following the date on which the Holder has delivered the applicable Exercise Notice, the Company shall transmit by electronic mail an acknowledgment of confirmation of receipt of the Exercise Notice, in the form attached to the Exercise Notice, to the Holder and the Company’s transfer agent (the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So long as the Holder delivers the Aggregate Exercise Price (or notice of a Cashless Exercise, if applicable) on or prior to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following the date on which the Exercise Notice has been delivered to the Company, then on or prior to the number of Trading Days comprising the Standard Settlement Period following the date on which the Exercise Notice has been delivered to the Company, or, if the Holder does not deliver the Aggregate Exercise Price (or notice of a Cashless Exercise, if applicable) on or prior to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following the date on which the Exercise Notice has been delivered to the Company, then on or prior to the date on which the Aggregate Exercise Price (or notice of a Cashless Exercise, if applicable) is delivered (such earlier date, or if later, the earliest day on which the Company is required to deliver Warrant Shares pursuant to this Section 1(a), the “</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the Company shall (X) provided that the Transfer Agent is participating in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Fast Automated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xml:space="preserve">”), credit such aggregate number of Warrant Shares to which the Holder is entitled pursuant to such exercise to the Holder’s or its designee’s balance account with DTC through its Deposit / Withdrawal At Custodian system, or (Y) if the Transfer Agent is not participating in the FAST, issue and dispatch by overnight courier to the address as specified in the Exercise Notice, a certificate or evidence of a credit book entry of shares, registered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including without limitation for same day processing. On the Share Delivery Date, the Holder shall be deemed for all corporate purposes to have become the holder of record and the beneficial owner of the Warrant Shares with respect to which this Warrant has been exercised, irrespective of the date such Warrant Shares are credited to the Holder’s DTC account or the date of delivery of the certificates evidencing such Warrant Shares, as the case may be; provided, that the Holder shall be deemed to have waived any voting rights of any such Warrant Shares that may arise with respect to the period commencing on such Exercise Date, through, and including, such applicable Share Delivery Date, as necessary, such that the aggregate voting rights of any shares of Common Stock (including such Warrant Shares) beneficially owned by the Holder and/or any Attribution Parties (as defined herein), collectively, on any such date of determination shall not exceed the Maximum Percentage (as defined below) as a result of any such exercise of this Warrant. If this Warrant is physically delivered to the Company in connection with any exercise pursuant to this Section 1(a) and the number of Warrant Shares represented by this Warrant submitted for exercise is greater than the number of Warrant Shares being acquired upon an exercise, then the Company shall as soon as practicable and in no event later than three (3) Trading Days after any exercise and at its own expense, issue and deliver to the Holder (or its designee (including, if applicable, the Warrant Agent)) a new Warrant (in accordance with Section 7(b)) representing the right to purchase the number of Warrant Shares issuable immediately prior to such exercise under this Warrant, less the number of Warrant Shares with respect to which this Warrant is exercised. No fractional Warrant Shares are to be issued upon the exercise of this Warrant, but rather the number of Warrant Shares to be issued shall be rounded down to the nearest whole number. Issuance of Warrant Shares shall be made without charge to the Holder for any issue or transfer tax or any incidental expense in respect of the issuance of such Warrant Shares, all of which taxes and expenses shall be paid by the Company, and such Warrant Shares shall be issued in the name of the Holder or in such name or names as may be directed by the Holder; provided, however, that, in the event that Warrant Shares are to be issued in a name other than the name of the Holder, this Warrant when surrendered for exercise shall be accompanied by the Assignment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duly executed by the Holder and the Company may require, as a condition thereto, the payment of a sum sufficient to reimburse it for any transfer tax incidental thereto. Subject to the foregoing, the Holder shall be responsible for all other tax liability that may arise as a result of holding or transferring this Warrant or receiving Warrant Shares upon exercise hereof, including any United States withholding taxes imposed on any dividends or deemed dividends, and the Company shall be entitled to withhold such tax liability from shares of Common Stock, sales proceeds subsequently paid or credited, or other amounts payable or distributable to the relevant Holder as required by applicable law. Any amount deducted or withheld shall be treated for all purposes as having been paid to the Holder. The Company will not close its stockholder books or records in any manner that prevents the timely exercise of this Warrant, pursuant to the terms hereof. The Company’s obligation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Company shall not be required to deliver Warrant Shares with respect to an exercise prior to the Holder’s delivery of the Aggregate Exercise Price (or notice of a Cashless Exercise) with respect to such exercise. </w:t>
      </w:r>
      <w:r>
        <w:rPr>
          <w:rFonts w:ascii="Times New Roman;Times;Serif" w:hAnsi="Times New Roman;Times;Serif"/>
          <w:b/>
          <w:i w:val="false"/>
          <w:caps w:val="false"/>
          <w:smallCaps w:val="false"/>
          <w:sz w:val="20"/>
        </w:rPr>
        <w:t xml:space="preserve">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For purposes of this Warrant,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means $199.64 (with all but the Nominal Exercise Price per share prepaid as of the Issuance Date), subject to adjustment as provided herein.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Company’s Failure to Timely Deliver Securities</w:t>
      </w:r>
      <w:r>
        <w:rPr>
          <w:rFonts w:ascii="Times New Roman;Times;Serif" w:hAnsi="Times New Roman;Times;Serif"/>
          <w:b w:val="false"/>
          <w:i w:val="false"/>
          <w:caps w:val="false"/>
          <w:smallCaps w:val="false"/>
          <w:sz w:val="20"/>
        </w:rPr>
        <w:t>. If either (I) the Company shall fail for any reason or for no reason to issue or credit, as the case may be, to the Holder on or prior to the applicable Share Delivery Date, if (x) the Transfer Agent is not participating in the FAST, a certificate or evidence of a book-entry credit for the number of shares of Common Stock to which the Holder is entitled and register such Common Stock on the Company’s share register or (y) the Transfer Agent is participating in the FAST, to credit the Holder’s balance account with DTC, for such number of shares of Common Stock to which the Holder is entitled upon the Holder’s exercise of this Warrant or (II) a registration statement (which may be the Registration Statement) covering the issuance or resale of the Warrant Shares that are the subject of the Exercise Notice (the “</w:t>
      </w:r>
      <w:r>
        <w:rPr>
          <w:rFonts w:ascii="Times New Roman;Times;Serif" w:hAnsi="Times New Roman;Times;Serif"/>
          <w:b/>
          <w:i w:val="false"/>
          <w:caps w:val="false"/>
          <w:smallCaps w:val="false"/>
          <w:sz w:val="20"/>
        </w:rPr>
        <w:t>Exercise Notice Warrant Shares</w:t>
      </w:r>
      <w:r>
        <w:rPr>
          <w:rFonts w:ascii="Times New Roman;Times;Serif" w:hAnsi="Times New Roman;Times;Serif"/>
          <w:b w:val="false"/>
          <w:i w:val="false"/>
          <w:caps w:val="false"/>
          <w:smallCaps w:val="false"/>
          <w:sz w:val="20"/>
        </w:rPr>
        <w:t>”) is not available for the issuance or resale, as applicable, of such Exercise Notice Warrant Shares and (x) the Company fails to promptly, but in no event later than one (1) Business Day after such registration statement becomes unavailable, to so notify the Holder and (y) the Company is unable to deliver the Exercise Notice Warrant Shares electronically without any restrictive legend by crediting such aggregate number of Exercise Notice Warrant Shares to the Holder’s or its designee’s balance account with DTC through its Deposit / Withdrawal At Custodian system (the event described in the immediately foregoing clause (II) is hereinafter referred as a “</w:t>
      </w:r>
      <w:r>
        <w:rPr>
          <w:rFonts w:ascii="Times New Roman;Times;Serif" w:hAnsi="Times New Roman;Times;Serif"/>
          <w:b/>
          <w:i w:val="false"/>
          <w:caps w:val="false"/>
          <w:smallCaps w:val="false"/>
          <w:sz w:val="20"/>
        </w:rPr>
        <w:t>Notice Failure</w:t>
      </w:r>
      <w:r>
        <w:rPr>
          <w:rFonts w:ascii="Times New Roman;Times;Serif" w:hAnsi="Times New Roman;Times;Serif"/>
          <w:b w:val="false"/>
          <w:i w:val="false"/>
          <w:caps w:val="false"/>
          <w:smallCaps w:val="false"/>
          <w:sz w:val="20"/>
        </w:rPr>
        <w:t>”), then, in addition to all other remedies available to the Holder, if on or prior to the applicable Share Delivery Date either (I) if the Transfer Agent is not participating in the FAST, the Company shall fail to issue and deliver a certificate or evidence of a book-entry credit to the Holder and register such shares of Common Stock on the Company’s share register or, if the Transfer Agent is participating in the FAST, credit the Holder’s balance account with DTC for the number of shares of Common Stock to which the Holder is entitled upon the Holder’s exercise hereunder or pursuant to the Company’s obligation pursuant to clause (ii) below or (II) if a Notice Failure occurs, and, in each case, if after such date the Holder is required by its broker to acquire (in an open market transaction, stock loan or otherwise) or the Holder’s brokerage firm otherwise acquires in connection with such Notice Failure, shares of Common Stock corresponding to all or any portion of the number of shares of Common Stock issuable upon such exercise which the Holder anticipated receiving upon such exercise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the Company shall, within five (5) Trading Days after the Holder’s request, (A) pay in cash to the Holder the amount, if any, by which (x) the Holder’s total purchase price (including customary brokerage commissions, stock loan costs and other out-of-pocket expenses,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The Company’s current transfer agent participates in the FAST. In the event that the Company changes transfer agents while this Warrant is outstanding, the Company shall select a transfer agent that participates in FAST. While this Warrant is outstanding, the Company shall cause its transfer agent to participate in FAST with respect to this Warrant. In addition to the foregoing rights, (i) if the Company fails to deliver the applicable number of Warrant Shares upon an exercise pursuant to Section 1 by the applicable Share Delivery Date, then the Holder shall have the right to rescind such exercise in whole or in part and retain and/or have the Company return, as the case may be, any portion of this Warrant that has not been exercised pursuant to such Exercise Notice; provided that the rescission of an exercise shall not affect the Company’s obligation to make any payments that have accrued prior to the date of such notice pursuant to this Section 1(c) or otherwise, and (ii) if a registration statement (which may be the Registration Statement) covering the issuance or resale of the Warrant Shares that are subject to an Exercise Notice is not available for the issuance or resale, as applicable, of such Exercise Notice Warrant Shares and the Holder has submitted an Exercise Notice prior to receiving notice of the non-availability of such registration statement and the Company has not already delivered the Warrant Shares underlying such Exercise Notice electronically without any restrictive legend by crediting such aggregate number of Warrant Shares to which the Holder is entitled pursuant to such exercise to the Holder’s or its designee’s balance account with DTC through its Deposit / Withdrawal At Custodian system, the Holder shall have the option, by delivery of notice to the Company, to (x) rescind such Exercise Notice in whole or in part and retain or have returned, as the case may be, any portion of this Warrant that has not been exercised pursuant to such Exercise Notice; provided that the rescission of an Exercise Notice shall not affect the Company’s obligation to make any payments that have accrued prior to the date of such notice pursuant to this Section 1(c) or otherwise, and/or (y) switch some or all of such Exercise Notice from a cash exercise to a Cashless Exercise.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at the time of exercise hereof, there is no effective registration statement, or the prospectus contained therein is not available for the issuance or resale of the Warrant Shares to or by the Holder, then this Warrant may also be exercised, in whole or in part, at such time by means of a “cashless exercise” (a “</w:t>
      </w:r>
      <w:r>
        <w:rPr>
          <w:rFonts w:ascii="Times New Roman;Times;Serif" w:hAnsi="Times New Roman;Times;Serif"/>
          <w:b/>
          <w:i w:val="false"/>
          <w:caps w:val="false"/>
          <w:smallCaps w:val="false"/>
          <w:sz w:val="20"/>
        </w:rPr>
        <w:t>Cashless Exercise</w:t>
      </w:r>
      <w:r>
        <w:rPr>
          <w:rFonts w:ascii="Times New Roman;Times;Serif" w:hAnsi="Times New Roman;Times;Serif"/>
          <w:b w:val="false"/>
          <w:i w:val="false"/>
          <w:caps w:val="false"/>
          <w:smallCaps w:val="false"/>
          <w:sz w:val="20"/>
        </w:rPr>
        <w:t>”) in which the Holder shall be entitled to receive a number of Warrant Shares equal to the quotient obtained by dividing (A-B) * (X) by (A), where:</w:t>
      </w:r>
    </w:p>
    <w:p>
      <w:pPr>
        <w:pStyle w:val="TextBody"/>
        <w:bidi w:val="0"/>
        <w:spacing w:before="0" w:after="0"/>
        <w:ind w:left="0" w:right="0" w:firstLine="21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155"/>
        <w:gridCol w:w="9812"/>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A</w:t>
            </w:r>
          </w:p>
        </w:tc>
        <w:tc>
          <w:tcPr>
            <w:tcW w:w="155" w:type="dxa"/>
            <w:tcBorders/>
            <w:vAlign w:val="center"/>
          </w:tcPr>
          <w:p>
            <w:pPr>
              <w:pStyle w:val="TableContents"/>
              <w:bidi w:val="0"/>
              <w:spacing w:before="0" w:after="283"/>
              <w:jc w:val="center"/>
              <w:rPr/>
            </w:pPr>
            <w:r>
              <w:rPr/>
              <w:t>=</w:t>
            </w:r>
          </w:p>
        </w:tc>
        <w:tc>
          <w:tcPr>
            <w:tcW w:w="9812" w:type="dxa"/>
            <w:tcBorders/>
            <w:vAlign w:val="center"/>
          </w:tcPr>
          <w:p>
            <w:pPr>
              <w:pStyle w:val="TableContents"/>
              <w:bidi w:val="0"/>
              <w:spacing w:before="0" w:after="283"/>
              <w:jc w:val="both"/>
              <w:rPr/>
            </w:pPr>
            <w:r>
              <w:rPr/>
              <w:t>as applicable, (i) the VWAP (as defined herein)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600(b)(88) of Regulation NMS promulgated under the federal securities laws) on such Trading Day, (ii) at the option of the Holder, either (y) the VWAP on the Trading Day immediately preceding the date of the applicable Exercise Notice or (z) the Bid Price of the Common Stock on the principal Trading Market as reported by Bloomberg as of the time of the Holder’s execution of the applicable Exercise Notice if such Exercise Notice is executed during “regular trading hours” on a Trading Day and is delivered within two (2) hours thereafter (including until two (2) hours after the close of “regular trading hours” on a Trading Day) pursuant to Section 1(a) hereof or (iii) the VWAP on the date of the applicable Exercise Notice if the date of such Exercise Notice is a Trading Day and such Exercise Notice is both executed and delivered pursuant to Section 1(a) hereof after the close of “regular trading hours” on such Trading Day;</w:t>
            </w:r>
          </w:p>
        </w:tc>
      </w:tr>
    </w:tbl>
    <w:p>
      <w:pPr>
        <w:pStyle w:val="TextBody"/>
        <w:bidi w:val="0"/>
        <w:spacing w:before="0" w:after="0"/>
        <w:jc w:val="left"/>
        <w:rPr>
          <w:caps w:val="false"/>
          <w:smallCaps w:val="false"/>
        </w:rPr>
      </w:pPr>
      <w:r>
        <w:rPr>
          <w:caps w:val="false"/>
          <w:smallCaps w:val="false"/>
        </w:rPr>
        <w:t> </w:t>
      </w:r>
    </w:p>
    <w:tbl>
      <w:tblPr>
        <w:tblW w:w="7088" w:type="dxa"/>
        <w:jc w:val="left"/>
        <w:tblInd w:w="0" w:type="dxa"/>
        <w:tblLayout w:type="fixed"/>
        <w:tblCellMar>
          <w:top w:w="0" w:type="dxa"/>
          <w:left w:w="0" w:type="dxa"/>
          <w:bottom w:w="0" w:type="dxa"/>
          <w:right w:w="0" w:type="dxa"/>
        </w:tblCellMar>
      </w:tblPr>
      <w:tblGrid>
        <w:gridCol w:w="38"/>
        <w:gridCol w:w="185"/>
        <w:gridCol w:w="155"/>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B</w:t>
            </w:r>
          </w:p>
        </w:tc>
        <w:tc>
          <w:tcPr>
            <w:tcW w:w="155" w:type="dxa"/>
            <w:tcBorders/>
            <w:vAlign w:val="center"/>
          </w:tcPr>
          <w:p>
            <w:pPr>
              <w:pStyle w:val="TableContents"/>
              <w:bidi w:val="0"/>
              <w:spacing w:before="0" w:after="283"/>
              <w:jc w:val="center"/>
              <w:rPr/>
            </w:pPr>
            <w:r>
              <w:rPr/>
              <w:t>=</w:t>
            </w:r>
          </w:p>
        </w:tc>
        <w:tc>
          <w:tcPr>
            <w:tcW w:w="6710" w:type="dxa"/>
            <w:tcBorders/>
            <w:vAlign w:val="center"/>
          </w:tcPr>
          <w:p>
            <w:pPr>
              <w:pStyle w:val="TableContents"/>
              <w:bidi w:val="0"/>
              <w:spacing w:before="0" w:after="283"/>
              <w:jc w:val="left"/>
              <w:rPr/>
            </w:pPr>
            <w:r>
              <w:rPr/>
              <w:t>the Nominal Exercise Price of this Warrant, as adjusted hereunder;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155"/>
        <w:gridCol w:w="9812"/>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X</w:t>
            </w:r>
          </w:p>
        </w:tc>
        <w:tc>
          <w:tcPr>
            <w:tcW w:w="155" w:type="dxa"/>
            <w:tcBorders/>
            <w:vAlign w:val="center"/>
          </w:tcPr>
          <w:p>
            <w:pPr>
              <w:pStyle w:val="TableContents"/>
              <w:bidi w:val="0"/>
              <w:spacing w:before="0" w:after="283"/>
              <w:jc w:val="center"/>
              <w:rPr/>
            </w:pPr>
            <w:r>
              <w:rPr/>
              <w:t>=</w:t>
            </w:r>
          </w:p>
        </w:tc>
        <w:tc>
          <w:tcPr>
            <w:tcW w:w="9812" w:type="dxa"/>
            <w:tcBorders/>
            <w:vAlign w:val="center"/>
          </w:tcPr>
          <w:p>
            <w:pPr>
              <w:pStyle w:val="TableContents"/>
              <w:bidi w:val="0"/>
              <w:spacing w:before="0" w:after="283"/>
              <w:jc w:val="both"/>
              <w:rPr/>
            </w:pPr>
            <w:r>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Shares are issued in a Cashless Exercise, the Company acknowledges and agrees that in accordance with Section 3(a)(9)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the Warrant Shares shall take on the registered characteristics of the Warrants being exercised. The Company agrees not to take any position contrary to this Section 1(d). Without limiting the rights of a Holder to receive Warrant Shares on a “cashless exercise” basis, and to receive the cash payments contemplated pursuant to Sections 1(c) and 3, in no event will the Company be required to net cash settle a Warrant exercise.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the Maximum Percentage (as defined below).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this Section 1(e). For purposes of this Section 1(e), beneficial ownership shall be calculated in accordance with Section 13(d)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In addition, a determination as to any group status as contemplated above shall be determined in accordance with Section 13(d) of the Exchange Act and the rules and regulations promulgated thereunder.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or other public filing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as the case may be, (y) a more recent public announcement by the Company or (z) any other written notice by the Company or the Transfer Agent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1(e), to exceed the Maximum Percentage, the Holder must notify the Company of a reduced number of Warrant Shares to be acquired pursuant to such Exercise Notice (the number of shares by which such purchase is reduced, the “</w:t>
      </w:r>
      <w:r>
        <w:rPr>
          <w:rFonts w:ascii="Times New Roman;Times;Serif" w:hAnsi="Times New Roman;Times;Serif"/>
          <w:b/>
          <w:i w:val="false"/>
          <w:caps w:val="false"/>
          <w:smallCaps w:val="false"/>
          <w:sz w:val="20"/>
        </w:rPr>
        <w:t>Reduction Shares</w:t>
      </w:r>
      <w:r>
        <w:rPr>
          <w:rFonts w:ascii="Times New Roman;Times;Serif" w:hAnsi="Times New Roman;Times;Serif"/>
          <w:b w:val="false"/>
          <w:i w:val="false"/>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The Maximum Percentage shall be 4.99% of the number of shares of the Common Stock outstanding immediately after giving effect to the issuance of shares of Common Stock issuable upon exercise of this Warrant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1(e) to the extent necessary to correct this paragraph or any portion of this paragraph which may be defective or inconsistent with the intended beneficial ownership limitation contained in this Section 1(e) or to make changes or supplements necessary or desirable to properly give effect to such limitation. The limitation contained in this paragraph may not be waived, modified or amended and shall apply to a successor holder of this Warrant. The Warrant Agent (as defined below) shall have no obligation to monitor the beneficial ownership holdings of the Holder or all holders of the Warrants.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Disputes</w:t>
      </w:r>
      <w:r>
        <w:rPr>
          <w:rFonts w:ascii="Times New Roman;Times;Serif" w:hAnsi="Times New Roman;Times;Serif"/>
          <w:b w:val="false"/>
          <w:i w:val="false"/>
          <w:caps w:val="false"/>
          <w:smallCaps w:val="false"/>
          <w:sz w:val="20"/>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ADJUSTMENT OF EXERCISE PRICE AND NUMBER OF WARRANT SHARES</w:t>
      </w:r>
      <w:r>
        <w:rPr>
          <w:rFonts w:ascii="Times New Roman;Times;Serif" w:hAnsi="Times New Roman;Times;Serif"/>
          <w:b w:val="false"/>
          <w:i w:val="false"/>
          <w:caps w:val="false"/>
          <w:smallCaps w:val="false"/>
          <w:sz w:val="20"/>
        </w:rPr>
        <w:t>. The Exercise Price and the number of Warrant Shares shall be adjusted from time to time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Trading Market, the Company may at any time during the term of this Warrant reduce the then current Exercise Price to any amount and for any period of time deemed appropriate by the board of directors of the Company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Adjustment Upon 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on its Common Stock or otherwise makes a distribution or distributions on any class of capital stock payable in shares of its Common Stock or any other equity or equity equivalent securities payable in shares of Common Stock (which, for the avoidance of doubt, shall not include any shares of Common Stock issued by the Company upon exercise of this Warrant), (ii) subdivides outstanding shares of Common Stock into a greater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under this Section 2(b) shall become effective immediately after the record date for the determination of stockholders entitled to receive such dividend or distribution and shall become effective immediately after the effective date in the case of a subdivision, combination or reclassification. If any event requiring an adjustment under this paragraph occurs during the period that an Exercise Price is calculated hereunder, then the calculation of such Exercise Price shall be adjusted appropriately to reflect such event. Simultaneously with any adjustment to the Exercise Price pursuant to this Section 2(b),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RIGHTS UPON DISTRIBUTION OF ASSETS</w:t>
      </w:r>
      <w:r>
        <w:rPr>
          <w:rFonts w:ascii="Times New Roman;Times;Serif" w:hAnsi="Times New Roman;Times;Serif"/>
          <w:b w:val="false"/>
          <w:i w:val="false"/>
          <w:caps w:val="false"/>
          <w:smallCaps w:val="false"/>
          <w:sz w:val="20"/>
        </w:rPr>
        <w:t>. In addition to any adjustments pursuant to Section 2 above or Section 4(a) below, during such time as this Warrant is outstanding, if the Company shall declare or make any dividend or other distribution of its assets (or rights to acquire its assets) (the “</w:t>
      </w:r>
      <w:r>
        <w:rPr>
          <w:rFonts w:ascii="Times New Roman;Times;Serif" w:hAnsi="Times New Roman;Times;Serif"/>
          <w:b/>
          <w:i w:val="false"/>
          <w:caps w:val="false"/>
          <w:smallCaps w:val="false"/>
          <w:sz w:val="20"/>
        </w:rPr>
        <w:t>Distributed Assets</w:t>
      </w:r>
      <w:r>
        <w:rPr>
          <w:rFonts w:ascii="Times New Roman;Times;Serif" w:hAnsi="Times New Roman;Times;Serif"/>
          <w:b w:val="false"/>
          <w:i w:val="false"/>
          <w:caps w:val="false"/>
          <w:smallCaps w:val="false"/>
          <w:sz w:val="20"/>
        </w:rPr>
        <w:t>”)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other than dividends or distributions subject to Section 2(b) above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or other than a reclassification to which Section 4(b) applies, then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The Company shall not effect any Distribution if, immediately after giving effect thereto, any Initial Holder, together with its Attribution Parties, would beneficially own in excess of 9.99% of the outstanding shares of Common Stock, unless such Initial Holder has provided its prior written consent. Notwithstanding the foregoing, such consent shall be deemed given if (i) the Company provides such Initial Holder, at least five (5) Business Days prior to the record date for the Distribution, written notice describing the Distribution in reasonable detail and (ii) such Initial Holder does not notify the Company in writing within two (2) Business Days of receipt of such written notice, that the Distribution would cause such Initial Holder, together with its Attribution Parties, to beneficially own in excess of 9.99% of the outstanding shares of Common Stock immediately after giving effect to the Distribution.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PURCHASE RIGHTS; ASSUMPTION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 2 or 3 above, if during such time as this Warrant is outstanding, the Company grants, issues or sells (each, a “</w:t>
      </w:r>
      <w:r>
        <w:rPr>
          <w:rFonts w:ascii="Times New Roman;Times;Serif" w:hAnsi="Times New Roman;Times;Serif"/>
          <w:b/>
          <w:i w:val="false"/>
          <w:caps w:val="false"/>
          <w:smallCaps w:val="false"/>
          <w:sz w:val="20"/>
        </w:rPr>
        <w:t>Grant</w:t>
      </w:r>
      <w:r>
        <w:rPr>
          <w:rFonts w:ascii="Times New Roman;Times;Serif" w:hAnsi="Times New Roman;Times;Serif"/>
          <w:b w:val="false"/>
          <w:i w:val="false"/>
          <w:caps w:val="false"/>
          <w:smallCaps w:val="false"/>
          <w:sz w:val="20"/>
        </w:rPr>
        <w:t>”) any Options, Convertible Securities or rights to purchase stock, warrants, securities or other property pro rata to the record holders of any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The Company shall not effect any Grant if, immediately after giving effect thereto, any Initial Holder, together with its Attribution Parties, would beneficially own in excess of 9.99% of the outstanding shares of Common Stock, unless such Initial Holder has provided its prior written consent. Notwithstanding the foregoing, such consent shall be deemed given if (i) the Company provides such Initial Holder, at least five (5) Business Days prior to the record date for the Grant, written notice describing the Grant in reasonable detail and (ii) such Initial Holder does not notify the Company in writing within two (2) Business Days of receipt of such written notice, that the Grant would cause such Initial Holder, together with its Attribution Parties, to beneficially own in excess of 9.99% of the outstanding shares of Common Stock immediately after giving effect to the Grant.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Assumption Transactions</w:t>
      </w:r>
      <w:r>
        <w:rPr>
          <w:rFonts w:ascii="Times New Roman;Times;Serif" w:hAnsi="Times New Roman;Times;Serif"/>
          <w:b w:val="false"/>
          <w:i w:val="false"/>
          <w:caps w:val="false"/>
          <w:smallCaps w:val="false"/>
          <w:sz w:val="20"/>
        </w:rPr>
        <w:t>. The Company shall not enter into or be party to a Assumption Transaction unless the Successor Entity assumes in writing all of the obligations of the Company under this Warrant and the other Transaction Documents in accordance with the provisions of this Section 4(b) pursuant to written agreements that are, so long as any Initial Holder owns more than 50% of the Warrants that it held as of the Closing Date (as defined in the Underwriting Agreement), in form and substance satisfactory to each Initial Holder and approved by such Initial Holder (without unreasonable delay) prior to such Assumption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Assumption Transaction, and with an exercise price which applies the exercise price hereunder to such shares of capital stock (but taking into account the relative value of the shares of Common Stock pursuant to such Assumption Transaction and the value of such shares of capital stock, such adjustments to the number of shares of capital stock and such exercise price being for the purpose of protecting the economic value of this Warrant immediately prior to the consummation of such Assumption Transaction ). Upon the consummation of each Assumption Transaction, the Successor Entity shall succeed to, and be substituted for (so that from and after the date of the applicable Assumption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Assumption Transaction, the Successor Entity shall deliver to the Holder confirmation that there shall be issued upon exercise of this Warrant at any time after the consummation of the applicable Assumption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Assumption Transaction, such shares of common stock (or its equivalent) of the Successor Entity (including its Parent Entity) which the Holder would have been entitled to receive upon the happening of the applicable Assumption Transaction had this Warrant been exercised immediately prior to the applicable Assumption Transaction (without regard to any limitations on the exercise of this Warrant), as adjusted in accordance with the provisions of this Warrant. Notwithstanding the foregoing, and without limiting Section 1(e) hereof, the Holder may elect, at its sole option, by delivery of written notice to the Company to waive this Section 4(b) to permit the Assumption Transaction without the assumption of this Warrant. In addition to and not in substitution for any other rights hereunder, prior to the consummation of each Assumption Transaction pursuant to which holders of shares of Common Stock, as a class, are entitled to receive securities or other assets with respect to or in exchange for shares of Common Stock, the Company shall make appropriate provision to ensure that the Holder will thereafter have the right to receive upon an exercise of this Warrant at any time after the consummation of the applicable Assumption Transaction but prior to the applicable Expiration Date, in lieu of the shares of the Common Stock (or other securities, cash, assets or other property (except such items still issuable under Sections 3 and 4(a) above, which shall continue to be receivable thereafter)) issuable upon the exercise of the Warrant prior to such Assumption Transaction, such shares of stock, securities, cash, assets or any other property whatsoever (including warrants or other purchase or subscription rights) which the Holder would have been entitled to receive upon the happening of the applicable Assumption Transaction had this Warrant been exercised immediately prior to the applicable Assumption Transaction (without regard to any limitations on the exercise of this Warrant). Any provision made pursuant to the preceding sentence shall be in a form and substance reasonably satisfactory to any Initial Holder that owns more than 50% of the Warrants that it held as of the Closing Date (as defined in the Underwriting Agreement). For the avoidance of doubt, if holders of Common Stock, as a class, are given any choice as to the securities, cash or property to be received in an Assumption Transaction, then the Holder shall be given the same choice as to the consideration it receives upon any exercise of this Warrant following such Assumption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[Intentionally Omitted]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The provisions of this Section 4 shall apply similarly and equally to successive Assumption Transactions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Sections 2, 3 and 4 shall be made to the nearest cent or the nearest 1/100th of a share, as the case may be. For purposes of Sections 2, 3 and 4,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and (iii) shall, so long as any of the Warrants are outstanding, take all action necessary to reserve and keep available out of its authorized and unissued shares of Common Stock, solely for the purpose of effecting the exercise of the Warrants, the number of shares of Common Stock as shall from time to time be necessary to effect the exercise of the Warrants then outstanding (without regard to any limitations on exercise).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WARRANT HOLDER NOT DEEMED A STOCKHOLDER</w:t>
      </w:r>
      <w:r>
        <w:rPr>
          <w:rFonts w:ascii="Times New Roman;Times;Serif" w:hAnsi="Times New Roman;Times;Serif"/>
          <w:b w:val="false"/>
          <w:i w:val="false"/>
          <w:caps w:val="false"/>
          <w:smallCaps w:val="false"/>
          <w:sz w:val="20"/>
        </w:rPr>
        <w:t>. Except as otherwise specifically provided herein, the Holder, solely in its capacity as a holder of this Warrant, shall not be entitled to vote or receive dividends or be deemed the holder of capital stock of the Company for any purpose, nor shall anything contained in this Warrant be construed to confer upon the Holder, solely in its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REISSUANCE OF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 Subject to compliance with any applicable securities laws, this Warrant and all rights hereunder are transferable, in whole or in part, upon surrender of this Warrant to the Company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7(a),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Issuance Date of this Warrant and shall be identical with this Warrant except as to the number of Warrant Shares issuable pursuant thereto.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Warrant Re</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ister</w:t>
      </w:r>
      <w:r>
        <w:rPr>
          <w:rFonts w:ascii="Times New Roman;Times;Serif" w:hAnsi="Times New Roman;Times;Serif"/>
          <w:b w:val="false"/>
          <w:i w:val="false"/>
          <w:caps w:val="false"/>
          <w:smallCaps w:val="false"/>
          <w:sz w:val="20"/>
        </w:rPr>
        <w:t>. The Company shall register this Warrant, upon records to be maintained by the Company for that purpose which may be maintained by the Warrant Agent on behalf of the Company (the “</w:t>
      </w:r>
      <w:r>
        <w:rPr>
          <w:rFonts w:ascii="Times New Roman;Times;Serif" w:hAnsi="Times New Roman;Times;Serif"/>
          <w:b/>
          <w:i w:val="false"/>
          <w:caps w:val="false"/>
          <w:smallCaps w:val="false"/>
          <w:sz w:val="20"/>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Whenever notice is required to be given under this Warrant, including, without limitation, an Exercise Notice, unless otherwise provided herein, such notice shall be given in writing, (i) if delivered (a) from within the domestic United States, by first-class registered or certified airmail, or nationally recognized overnight express courier, postage prepaid or electronic mail or (b) from outside the United States, by International Federal Express or electronic mail, and (ii) will be deemed given (A) if delivered by first-class registered or certified mail domestic, three (3) Business Days after so mailed, (B) if delivered by nationally recognized overnight carrier, one (1) Business Day after so mailed, (C) if delivered by International Federal Express, two (2) Business Days after so mailed and (D) at the time of transmission, if delivered by electronic mail to each of the email addresses specified in this Section 8 prior to 5:00 p.m. (New York time) on a Trading Day, and (E) the next Trading Day after the date of transmission, if delivered by electronic mail to each of the email addresses specified in this Section 8 on a day that is not a Trading Day or later than 5:00 p.m. (New York time) on any Trading Day: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the Company,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Centrus Energy Corp.</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6901 Rockledge Drive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800</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Bethesda, MD 20817</w:t>
        <w:br/>
        <w:t>Attention: Todd Tinelli, Chief Financial Officer</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generalcounsel@centrusenergy.com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O’Melveny &amp; Myers LLP</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 Avenue of the Americas</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10036</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Brophy C. Christensen</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bchristensen@omm.com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the Holder, at such address or other contact information delivered by the Holder to the Company or as is on the books and records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give written notice to the Holder, the Warrant Agent and the Transfer Agent (i) promptly after any adjustment of the Exercise Price, setting forth in reasonable detail, and certifying, the calculation of such adjustment and (ii) at least fifteen (15) days prior to the date on which the Company closes its books or takes a record (A) with respect to any dividend or distribution upon the shares of Common Stock or (B) for determining rights to vote with respect to any Assumption Transaction, dissolution or liquidation;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in each case that such information shall be made known to the public prior to or in conjunction with such notice being provided to the Holder. It is expressly understood and agreed that the time of exercise specified by the Holder in each Exercise Notice shall be definitive and may not be disputed or challenged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hts as Stockholder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1(a), except as expressly set forth in Sections 2, 3 and 4. Without limiting the rights of a Holder to receive Warrant Shares on a “cashless exercise” basis pursuant to Section 1(d), or to receive cash payments contemplated by Sections 1(a), 1(c) and 3 herein, in no event will the Company be required to net cash settle an exercise of this Warrant.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covenants that so long as this Warrant remains outstanding, it will reserve from its authorized and unissued Common Stock a sufficient number of shares to provide for the issuance of the Warrant Shares upon the exercise of this Warrant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The Company further covenants that its issuance of this Warrant shall constitute full authority to its officers who are charged with the duty of issuing the necessary Warrant Shares upon the exercise of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this Warrant will, upon exercise hereunder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and to the extent waived or consented to by each Holder of outstanding Warrants in writing,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notwithstanding the foregoing, and not in limitation thereof, at any time while any of the Warrants remain outstanding, the Company does not have a sufficient number of authorized and unreserved shares of Common Stock to satisfy its obligation to reserve the Required Reserve Amount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immediately take all reasonable action necessary to increase the Company’s authorized shares of Common Stock to an amount sufficient to allow the Company to reserve the Required Reserve Amount for all the Warrants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14C.In the event the Company is unable to obtain stockholder approval for such increase in the number of authorized shares of Common Stock at the first stockholders’ meeting called for such purpose in accordance with the procedures set forth in this Section 9(c), the Company shall be required to use its reasonable best efforts to continue to follow such processes and to hold stockholder meetings for this purpose until such approval is obtained or the Authorized Share Failure is otherwise cured.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xml:space="preserve">. All questions concerning the construction, validity, enforcement and interpretation of this Warrant shall be governed by and construed and enforced in accordance with the internal laws of the State of New York, without giving effect to any provision or rule (whether of the State of New York or any other jurisdictions) that would cause the application of the laws of any jurisdictions other than the State of New York. The Company and, by accepting this Warrant, the Holder each agrees that all legal proceedings concerning the interpretations, enforcement and defense of the transactions contemplated by this Warrant (whether brought against the Company or the Holder or their respective affiliates, directors, officers, stockholders, partners, members, employees or agents) shall be commenced exclusively in the state and federal courts sitting in the City of New York. The Company and, by accepting this Warrant,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The Company and, by accepting this Warrant, the Holder each hereby irrevocably waives personal service of process and consents to process being served in any such suit, action or proceeding by mailing a copy thereof via registered or certified mail or overnight delivery (with evidence of delivery) to it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the Company or the Holder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w:t>
      </w:r>
      <w:r>
        <w:rPr>
          <w:rFonts w:ascii="Times New Roman;Times;Serif" w:hAnsi="Times New Roman;Times;Serif"/>
          <w:b/>
          <w:i w:val="false"/>
          <w:caps w:val="false"/>
          <w:smallCaps w:val="false"/>
          <w:sz w:val="20"/>
        </w:rPr>
        <w:t>EACH OF THE COMPANY AND EACH HOLDER HEREBY IRREVOCABLY WAIVES ANY RIGHT IT MAY HAVE, AND AGREES NOT TO REQUEST, A JURY TRIAL FOR THE ADJUDICATION OF ANY DISPUTE HEREUNDER OR IN CONNECTION WITH OR ARISING OUT OF THIS WARRANT OR ANY TRANSACTION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Warrant Agent</w:t>
      </w:r>
      <w:r>
        <w:rPr>
          <w:rFonts w:ascii="Times New Roman;Times;Serif" w:hAnsi="Times New Roman;Times;Serif"/>
          <w:b w:val="false"/>
          <w:i w:val="false"/>
          <w:caps w:val="false"/>
          <w:smallCaps w:val="false"/>
          <w:sz w:val="20"/>
        </w:rPr>
        <w:t>. U.S. Bank Trust Company, National Association (“</w:t>
      </w:r>
      <w:r>
        <w:rPr>
          <w:rFonts w:ascii="Times New Roman;Times;Serif" w:hAnsi="Times New Roman;Times;Serif"/>
          <w:b/>
          <w:i w:val="false"/>
          <w:caps w:val="false"/>
          <w:smallCaps w:val="false"/>
          <w:sz w:val="20"/>
        </w:rPr>
        <w:t>US Bank</w:t>
      </w:r>
      <w:r>
        <w:rPr>
          <w:rFonts w:ascii="Times New Roman;Times;Serif" w:hAnsi="Times New Roman;Times;Serif"/>
          <w:b w:val="false"/>
          <w:i w:val="false"/>
          <w:caps w:val="false"/>
          <w:smallCaps w:val="false"/>
          <w:sz w:val="20"/>
        </w:rPr>
        <w:t>”) has been appointed to serve as warrant agent (the “</w:t>
      </w:r>
      <w:r>
        <w:rPr>
          <w:rFonts w:ascii="Times New Roman;Times;Serif" w:hAnsi="Times New Roman;Times;Serif"/>
          <w:b/>
          <w:i w:val="false"/>
          <w:caps w:val="false"/>
          <w:smallCaps w:val="false"/>
          <w:sz w:val="20"/>
        </w:rPr>
        <w:t>Warrant Agent</w:t>
      </w:r>
      <w:r>
        <w:rPr>
          <w:rFonts w:ascii="Times New Roman;Times;Serif" w:hAnsi="Times New Roman;Times;Serif"/>
          <w:b w:val="false"/>
          <w:i w:val="false"/>
          <w:caps w:val="false"/>
          <w:smallCaps w:val="false"/>
          <w:sz w:val="20"/>
        </w:rPr>
        <w:t>”) under this Warrant, pursuant to a warrant agent agreement between US Bank and the Company, dated September 11, 2026. Upon ten (10)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Remedies, Characterization, Other Obligations, Breaches and Injunctive Relief</w:t>
      </w:r>
      <w:r>
        <w:rPr>
          <w:rFonts w:ascii="Times New Roman;Times;Serif" w:hAnsi="Times New Roman;Times;Serif"/>
          <w:b w:val="false"/>
          <w:i w:val="false"/>
          <w:caps w:val="false"/>
          <w:smallCaps w:val="false"/>
          <w:sz w:val="20"/>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and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reasonably requested by the Holder to enable the Holder to confirm the Company’s compliance with the terms and conditions of this Warrant. The issuance of shares and certificates for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Payment of Collection, Enforcement and Other Costs</w:t>
      </w:r>
      <w:r>
        <w:rPr>
          <w:rFonts w:ascii="Times New Roman;Times;Serif" w:hAnsi="Times New Roman;Times;Serif"/>
          <w:b w:val="false"/>
          <w:i w:val="false"/>
          <w:caps w:val="false"/>
          <w:smallCaps w:val="false"/>
          <w:sz w:val="20"/>
        </w:rPr>
        <w:t>. If (a) this Warrant is placed in the hands of an attorney for collection or enforcement or is collected or enforced through any legal proceeding or the Holder otherwise takes action to collect amounts due under this Warrant or to enforce the provisions of this Warrant or (b) there occurs any bankruptcy, reorganization, receivership of the company or other proceedings affecting company creditors’ rights and involving a claim under this Warrant, then the Company shall pay the costs incurred by the Holder for such collection, enforcement or action or in connection with such bankruptcy, reorganization, receivership or other proceeding, including, without limitation, attorneys’ fees and disbursements.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Except for Section 1(e) and this Section 9(l) which may not be amended, modified or waived, this Warrant may be modified or amended or the provisions hereof waived with the written consent of the Company, on the one hand, and the Holder of a majority of the then outstanding Warrants, on the other hand.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Construction/Headings</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the Warrant. The headings of the sections and subsections of this Warrant are for convenience of reference only, are not to be considered a part hereof, and shall not limit, expand or otherwise affect the construction or interpretation of any provision of this Warrant.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Upon delivery by the Company to the Holder (or receipt by the Company from the Holder) of any notice in accordance with the terms of this Warrant,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Absence of Tradin</w:t>
      </w: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and Disclosure Restrictions</w:t>
      </w:r>
      <w:r>
        <w:rPr>
          <w:rFonts w:ascii="Times New Roman;Times;Serif" w:hAnsi="Times New Roman;Times;Serif"/>
          <w:b w:val="false"/>
          <w:i w:val="false"/>
          <w:caps w:val="false"/>
          <w:smallCaps w:val="false"/>
          <w:sz w:val="20"/>
        </w:rPr>
        <w:t>.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Submission to Dispute Resolution</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 dispute relating to the Exercise Price, the Bid Price, or fair market value or the arithmetic calculation of the number of Warrant Shares (as the case may be) (including, without limitation, a dispute relating to the determination of any of the foregoing), the Company or the Holder (as the case may be, the “Submitting Party”) shall submit the dispute to the other party via electronic 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Exercise Price, such Bid Price, or such fair market value or such arithmetic calculation of the number of Warrant Shares (as the case may be), at any time after the second (2nd) Business Day following such initial notice by the Submitting Party of such dispute to the other party, then the Submitting Party may select an independent, reputable investment bank to resolve such dispute (subject to the other party’s consent, not to be unreasonably withheld).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Holder and the Company shall each deliver to such investment bank (A) a copy of the initial dispute submission so delivered in accordance with the first sentence of this Section 10 and (B) written documentation supporting its position with respect to such dispute, in each case, no later than 5:00 p.m. (New York time) by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immediately following the date on which the Holder selected such investment bank (the “</w:t>
      </w:r>
      <w:r>
        <w:rPr>
          <w:rFonts w:ascii="Times New Roman;Times;Serif" w:hAnsi="Times New Roman;Times;Serif"/>
          <w:b/>
          <w:i w:val="false"/>
          <w:caps w:val="false"/>
          <w:smallCaps w:val="false"/>
          <w:sz w:val="20"/>
        </w:rPr>
        <w:t>Dispute Submission Deadline</w:t>
      </w:r>
      <w:r>
        <w:rPr>
          <w:rFonts w:ascii="Times New Roman;Times;Serif" w:hAnsi="Times New Roman;Times;Serif"/>
          <w:b w:val="false"/>
          <w:i w:val="false"/>
          <w:caps w:val="false"/>
          <w:smallCaps w:val="false"/>
          <w:sz w:val="20"/>
        </w:rPr>
        <w:t>”) (the documents referred to in the immediately preceding clauses (A) and (B) are collectively referred to herein as the “</w:t>
      </w:r>
      <w:r>
        <w:rPr>
          <w:rFonts w:ascii="Times New Roman;Times;Serif" w:hAnsi="Times New Roman;Times;Serif"/>
          <w:b/>
          <w:i w:val="false"/>
          <w:caps w:val="false"/>
          <w:smallCaps w:val="false"/>
          <w:sz w:val="20"/>
        </w:rPr>
        <w:t>Required Dispute Documentation</w:t>
      </w:r>
      <w:r>
        <w:rPr>
          <w:rFonts w:ascii="Times New Roman;Times;Serif" w:hAnsi="Times New Roman;Times;Serif"/>
          <w:b w:val="false"/>
          <w:i w:val="false"/>
          <w:caps w:val="false"/>
          <w:smallCaps w:val="false"/>
          <w:sz w:val="20"/>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and the Holder shall cause such investment bank to determine the resolution of such dispute and notify the Company and the Holder of such resolution no later than ten (10) Business Days immediately following the Dispute Submission Deadline. The reasonable fees and expenses of such investment bank shall be borne solely by the Company, and such investment bank’s resolution of such dispute shall be final and binding upon all parties absent manifest error.</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The Company expressly acknowledges and agrees that (i) this Section 10 constitutes an agreement to arbitrate between the Company and the Holder (and constitutes an arbitration agreement) under the rules then in effect under § 7501, et seq. of the New York Civil Practice Law and Rules (“</w:t>
      </w:r>
      <w:r>
        <w:rPr>
          <w:rFonts w:ascii="Times New Roman;Times;Serif" w:hAnsi="Times New Roman;Times;Serif"/>
          <w:b/>
          <w:i w:val="false"/>
          <w:caps w:val="false"/>
          <w:smallCaps w:val="false"/>
          <w:sz w:val="20"/>
        </w:rPr>
        <w:t>CPLR</w:t>
      </w:r>
      <w:r>
        <w:rPr>
          <w:rFonts w:ascii="Times New Roman;Times;Serif" w:hAnsi="Times New Roman;Times;Serif"/>
          <w:b w:val="false"/>
          <w:i w:val="false"/>
          <w:caps w:val="false"/>
          <w:smallCaps w:val="false"/>
          <w:sz w:val="20"/>
        </w:rPr>
        <w:t>”) and that the Holder is authorized to apply for an order to compel arbitration pursuant to CPLR § 7503(a) in order to compel compliance with this Section 10, (ii) the terms of this Warrant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Warrant and any other applicable Transaction Documents, (iii) the Holder (and only the Holder), in its sole discretion, shall have the right to submit any dispute described in this Section 10 to any state or federal court sitting in The City of New York, Borough of Manhattan in lieu of utilizing the procedures set forth in this Section 10 and (iv) nothing in this Section 10 shall limit the Holder from obtaining any injunctive relief or other equitable remedies (including, without limitation, with respect to any matters described in this Section 10).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Warrant, the following terms shall have the following meanings: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that directly or indirectly controls, is controlled by, or is under common control with, such Person, as such terms are used in and construed under Rule 405 under the Securities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i w:val="false"/>
          <w:caps w:val="false"/>
          <w:smallCaps w:val="false"/>
          <w:sz w:val="20"/>
        </w:rPr>
        <w:t>Assumption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and its subsidiaries, taken as a whole, to one or more Subject Entities, or (iii) make, or allow one or more Subject Entities to make, or allow the Company to be subject to or have its Voting Stock be subject to or party to one or more Subject Entities making, a purchase, tender or exchange offer that is accepted by the holders of at least either (x) 50% of the aggregate ordinary voting power represented by issued and outstanding shares of Voting Stock, or (y) such number of shares of Voting Stock such that all Subject Entities making or party to, or Affiliated with any Subject Entity making or party to, such purchase, tender or exchange offer, become collectively the beneficial owners (as defined in Rule 13d-3 under the Exchange Act) of at least 50% of the aggregate ordinary voting power represented by issued and outstanding shares of Voting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aggregate ordinary voting power represented by issued and outstanding shares of Voting Stock or (y) such number of shares of Voting Stock such that the Subject Entities become collectively the beneficial owners (as defined in Rule 13d-3 under the Exchange Act) of at least 50% of the aggregate ordinary voting power represented by issued and outstanding shares of Voting Stock, or (v) reorganize, recapitalize or reclassify its Voting Stock in a transaction pursuant to which the Common Stock is converted into or exchanged for other securities, cash or property or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merger, consolidation, business combination, reorganization, recapitalization, spin- off, scheme of arrangement, reorganization, recapitalization or reclassification or otherwise in any manner whatsoever, of either (x) at least 50% of the aggregate ordinary voting power represented by issued and outstanding Voting Stock or (y) a percentage of the aggregate ordinary voting power represented by issued and outstanding shares of Voting Stock or other equity securities of the Company sufficient to allow such Subject Entities to effect a statutory short form merger or other transaction requiring other stockholders of the Company to surrender their shares of Voting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Subscription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i w:val="false"/>
          <w:caps w:val="false"/>
          <w:smallCaps w:val="false"/>
          <w:sz w:val="20"/>
        </w:rPr>
        <w:t>Bid Price</w:t>
      </w:r>
      <w:r>
        <w:rPr>
          <w:rFonts w:ascii="Times New Roman;Times;Serif" w:hAnsi="Times New Roman;Times;Serif"/>
          <w:b w:val="false"/>
          <w:i w:val="false"/>
          <w:caps w:val="false"/>
          <w:smallCaps w:val="false"/>
          <w:sz w:val="20"/>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on the Pink Open Market as of such time of determination. If the Bid Price cannot be calculated for a security as of the particular time of determination on any of the foregoing bases, the Bid Price of such security as of such time of determination shall be the fair market value of such securities as determined by an independent appraiser selected in good faith by the Required Holders and reasonably acceptable to the Company, the fees and expenses of which shall be paid by the Company. All such determinations shall be appropriately adjusted for any stock dividend, stock split, stock combination or other similar transaction during such period.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Financial Markets.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(i) the Company’s Class A Common Stock, par value $0.10 per share, and (ii) any capital stock into which such Common Stock shall have been changed or any capital stock resulting from a reclassification of such Common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securities (other than Options) directly or indirectly convertible into or exercisable or exchangeable for shares of Common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New York Stock Exchange, Inc., The NASDAQ Capital Market, the NYSE American LLC, The NASDAQ Global Select Market, or The NASDAQ Global Market.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means the date that is the 25-year anniversary after the date hereof, or, if such date falls on a day other than a Business Day or on which trading does not take place on the Principal Market (a “</w:t>
      </w:r>
      <w:r>
        <w:rPr>
          <w:rFonts w:ascii="Times New Roman;Times;Serif" w:hAnsi="Times New Roman;Times;Serif"/>
          <w:b/>
          <w:i w:val="false"/>
          <w:caps w:val="false"/>
          <w:smallCaps w:val="false"/>
          <w:sz w:val="20"/>
        </w:rPr>
        <w:t>Holiday</w:t>
      </w:r>
      <w:r>
        <w:rPr>
          <w:rFonts w:ascii="Times New Roman;Times;Serif" w:hAnsi="Times New Roman;Times;Serif"/>
          <w:b w:val="false"/>
          <w:i w:val="false"/>
          <w:caps w:val="false"/>
          <w:smallCaps w:val="false"/>
          <w:sz w:val="20"/>
        </w:rPr>
        <w:t>”), the next day that is not a Holiday.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Exchange Act and as defined in Rule 13d-5 thereunder.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Holder</w:t>
      </w:r>
      <w:r>
        <w:rPr>
          <w:rFonts w:ascii="Times New Roman;Times;Serif" w:hAnsi="Times New Roman;Times;Serif"/>
          <w:b w:val="false"/>
          <w:i w:val="false"/>
          <w:caps w:val="false"/>
          <w:smallCaps w:val="false"/>
          <w:sz w:val="20"/>
        </w:rPr>
        <w:t>” means any Person that purchased at least $300,000,000 of Common Stock or prefunded warrants of the Company on the Closing Date (as defined in the Underwriting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shares of Common Stock or Convertible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including such entity whose common stock or equivalent equity security is quoted or listed on a Trading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Assumption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limited liability company, a partnership, a joint venture, a corporation, a trust, an unincorporated organization, any other entity and a government or any department or agency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NYSE (or any successors thereto).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Holders</w:t>
      </w:r>
      <w:r>
        <w:rPr>
          <w:rFonts w:ascii="Times New Roman;Times;Serif" w:hAnsi="Times New Roman;Times;Serif"/>
          <w:b w:val="false"/>
          <w:i w:val="false"/>
          <w:caps w:val="false"/>
          <w:smallCaps w:val="false"/>
          <w:sz w:val="20"/>
        </w:rPr>
        <w:t>” means the holders of the Warrants representing at least a majority of the shares of Common Stock underlying the Warrants then outstanding.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Standard Settlement Period” </w:t>
      </w:r>
      <w:r>
        <w:rPr>
          <w:rFonts w:ascii="Times New Roman;Times;Serif" w:hAnsi="Times New Roman;Times;Serif"/>
          <w:b w:val="false"/>
          <w:i w:val="false"/>
          <w:caps w:val="false"/>
          <w:smallCaps w:val="false"/>
          <w:sz w:val="20"/>
        </w:rPr>
        <w:t>means the standard settlement period, expressed in a number of Trading Days, for the Company’s primary trading market or quotation system with respect to the Common Stock that is in effect on the date of receipt of an applicable Exercise Notice.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one or more Person or Persons (or, if so elected by the Holder, the Company or Parent Entity) formed by, resulting from or surviving any Assumption Transaction or one or more Person or Persons (or, if so elected by the Holder, the Company or the Parent Entity) with which such Assumption Transaction shall have been entered into.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any day on which the Common Stock is traded on the Principal Market, or, if the Principal Market is not the principal trading market for the Common Stock, then on the principal securities exchange or securities market on which the Common Stock is then traded.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the Nasdaq Capital Market, the Nasdaq Global Market or the Nasdaq Global Select Market (or any successors to any of the foregoing).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means any agreement entered into by and between the Company and the Holder, as applicable, in connection with the offer and sale of the Warrants.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Voting Stock</w:t>
      </w:r>
      <w:r>
        <w:rPr>
          <w:rFonts w:ascii="Times New Roman;Times;Serif" w:hAnsi="Times New Roman;Times;Serif"/>
          <w:b w:val="false"/>
          <w:i w:val="false"/>
          <w:caps w:val="false"/>
          <w:smallCaps w:val="false"/>
          <w:sz w:val="20"/>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Required Holders and reasonably acceptable to the Company, the fees and expenses of which shall be paid by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Company has caused this Warrant to purchase Common Stock to be duly executed as of the Issuance Date set out above.</w:t>
      </w:r>
    </w:p>
    <w:p>
      <w:pPr>
        <w:pStyle w:val="TextBody"/>
        <w:bidi w:val="0"/>
        <w:spacing w:before="0" w:after="0"/>
        <w:ind w:left="0" w:right="0" w:hanging="0"/>
        <w:jc w:val="left"/>
        <w:rPr>
          <w:caps w:val="false"/>
          <w:smallCaps w:val="false"/>
        </w:rPr>
      </w:pPr>
      <w:r>
        <w:rPr>
          <w:caps w:val="false"/>
          <w:smallCaps w:val="false"/>
        </w:rPr>
        <w:t> </w:t>
      </w:r>
    </w:p>
    <w:tbl>
      <w:tblPr>
        <w:tblW w:w="2419" w:type="dxa"/>
        <w:jc w:val="left"/>
        <w:tblInd w:w="0" w:type="dxa"/>
        <w:tblLayout w:type="fixed"/>
        <w:tblCellMar>
          <w:top w:w="0" w:type="dxa"/>
          <w:left w:w="0" w:type="dxa"/>
          <w:bottom w:w="0" w:type="dxa"/>
          <w:right w:w="0" w:type="dxa"/>
        </w:tblCellMar>
      </w:tblPr>
      <w:tblGrid>
        <w:gridCol w:w="75"/>
        <w:gridCol w:w="1608"/>
        <w:gridCol w:w="736"/>
      </w:tblGrid>
      <w:tr>
        <w:trPr/>
        <w:tc>
          <w:tcPr>
            <w:tcW w:w="75"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left"/>
              <w:rPr>
                <w:sz w:val="20"/>
              </w:rPr>
            </w:pPr>
            <w:r>
              <w:rPr>
                <w:sz w:val="20"/>
              </w:rPr>
              <w:t>CENTRUS ENERGY CORP.</w:t>
            </w:r>
          </w:p>
        </w:tc>
      </w:tr>
      <w:tr>
        <w:trPr/>
        <w:tc>
          <w:tcPr>
            <w:tcW w:w="75"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08" w:type="dxa"/>
            <w:tcBorders/>
            <w:vAlign w:val="center"/>
          </w:tcPr>
          <w:p>
            <w:pPr>
              <w:pStyle w:val="TableContents"/>
              <w:bidi w:val="0"/>
              <w:spacing w:before="0" w:after="283"/>
              <w:jc w:val="left"/>
              <w:rPr>
                <w:sz w:val="20"/>
              </w:rPr>
            </w:pPr>
            <w:r>
              <w:rPr>
                <w:sz w:val="20"/>
              </w:rPr>
              <w:t>By:</w:t>
            </w:r>
          </w:p>
        </w:tc>
        <w:tc>
          <w:tcPr>
            <w:tcW w:w="73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08" w:type="dxa"/>
            <w:tcBorders/>
            <w:vAlign w:val="center"/>
          </w:tcPr>
          <w:p>
            <w:pPr>
              <w:pStyle w:val="TableContents"/>
              <w:bidi w:val="0"/>
              <w:spacing w:before="0" w:after="283"/>
              <w:jc w:val="left"/>
              <w:rPr>
                <w:sz w:val="20"/>
              </w:rPr>
            </w:pPr>
            <w:r>
              <w:rPr>
                <w:sz w:val="20"/>
              </w:rPr>
              <w:t>Name:</w:t>
            </w:r>
          </w:p>
        </w:tc>
        <w:tc>
          <w:tcPr>
            <w:tcW w:w="736" w:type="dxa"/>
            <w:tcBorders/>
            <w:vAlign w:val="center"/>
          </w:tcPr>
          <w:p>
            <w:pPr>
              <w:pStyle w:val="TableContents"/>
              <w:bidi w:val="0"/>
              <w:spacing w:before="0" w:after="283"/>
              <w:jc w:val="left"/>
              <w:rPr>
                <w:sz w:val="20"/>
              </w:rPr>
            </w:pPr>
            <w:r>
              <w:rPr>
                <w:sz w:val="20"/>
              </w:rPr>
              <w:t>[</w:t>
            </w:r>
            <w:r>
              <w:rPr>
                <w:rFonts w:ascii="Symbol" w:hAnsi="Symbol"/>
                <w:sz w:val="20"/>
              </w:rPr>
              <w:t>·</w:t>
            </w:r>
            <w:r>
              <w:rPr>
                <w:sz w:val="20"/>
              </w:rPr>
              <w:t>]</w:t>
            </w:r>
          </w:p>
        </w:tc>
      </w:tr>
      <w:tr>
        <w:trPr/>
        <w:tc>
          <w:tcPr>
            <w:tcW w:w="75" w:type="dxa"/>
            <w:tcBorders/>
            <w:vAlign w:val="center"/>
          </w:tcPr>
          <w:p>
            <w:pPr>
              <w:pStyle w:val="TableContents"/>
              <w:bidi w:val="0"/>
              <w:spacing w:before="0" w:after="283"/>
              <w:jc w:val="left"/>
              <w:rPr/>
            </w:pPr>
            <w:r>
              <w:rPr/>
              <w:t> </w:t>
            </w:r>
          </w:p>
        </w:tc>
        <w:tc>
          <w:tcPr>
            <w:tcW w:w="1608" w:type="dxa"/>
            <w:tcBorders/>
            <w:vAlign w:val="center"/>
          </w:tcPr>
          <w:p>
            <w:pPr>
              <w:pStyle w:val="TableContents"/>
              <w:bidi w:val="0"/>
              <w:spacing w:before="0" w:after="283"/>
              <w:jc w:val="left"/>
              <w:rPr>
                <w:sz w:val="20"/>
              </w:rPr>
            </w:pPr>
            <w:r>
              <w:rPr>
                <w:sz w:val="20"/>
              </w:rPr>
              <w:t>Title:</w:t>
            </w:r>
          </w:p>
        </w:tc>
        <w:tc>
          <w:tcPr>
            <w:tcW w:w="736" w:type="dxa"/>
            <w:tcBorders/>
            <w:vAlign w:val="center"/>
          </w:tcPr>
          <w:p>
            <w:pPr>
              <w:pStyle w:val="TableContents"/>
              <w:bidi w:val="0"/>
              <w:spacing w:before="0" w:after="283"/>
              <w:jc w:val="left"/>
              <w:rPr>
                <w:sz w:val="20"/>
              </w:rPr>
            </w:pPr>
            <w:r>
              <w:rPr>
                <w:sz w:val="20"/>
              </w:rPr>
              <w:t>[</w:t>
            </w:r>
            <w:r>
              <w:rPr>
                <w:rFonts w:ascii="Symbol" w:hAnsi="Symbol"/>
                <w:sz w:val="20"/>
              </w:rPr>
              <w:t>·</w:t>
            </w:r>
            <w:r>
              <w:rPr>
                <w:sz w:val="20"/>
              </w:rPr>
              <w:t>]  </w:t>
            </w:r>
          </w:p>
        </w:tc>
      </w:tr>
    </w:tbl>
    <w:p>
      <w:pPr>
        <w:pStyle w:val="TextBody"/>
        <w:bidi w:val="0"/>
        <w:spacing w:before="0" w:after="283"/>
        <w:jc w:val="left"/>
        <w:rPr/>
      </w:pPr>
      <w:r>
        <w:rPr/>
        <w:t> </w:t>
      </w:r>
    </w:p>
    <w:p>
      <w:pPr>
        <w:pStyle w:val="TextBody"/>
        <w:bidi w:val="0"/>
        <w:jc w:val="center"/>
        <w:rPr/>
      </w:pPr>
      <w:r>
        <w:rPr/>
        <w:t>[</w:t>
      </w:r>
      <w:r>
        <w:rPr>
          <w:i/>
        </w:rPr>
        <w:t>Signature Page to Warrant</w:t>
      </w:r>
      <w:r>
        <w:rPr/>
        <w:t>]</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EXECUTED BY THE REGISTERED HOLDER TO EXERCISE THIS</w:t>
        <w:br/>
        <w:t>WARRANT TO PURCHASE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CENTRUS ENERGY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hereby exercises the right to purchase [ ] shares of Common Stock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of CENTRUS ENERGY CORP., a corporation organized under the laws of the State of Delaware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evidenced by the attached Warrant to Purchase Common Stock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Capitalized terms used herein and not otherwise defined shall have the respective meanings set forth in the Warrant.</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18"/>
        <w:gridCol w:w="9946"/>
      </w:tblGrid>
      <w:tr>
        <w:trPr/>
        <w:tc>
          <w:tcPr>
            <w:tcW w:w="4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1.</w:t>
            </w:r>
          </w:p>
        </w:tc>
        <w:tc>
          <w:tcPr>
            <w:tcW w:w="9946" w:type="dxa"/>
            <w:tcBorders/>
            <w:vAlign w:val="center"/>
          </w:tcPr>
          <w:p>
            <w:pPr>
              <w:pStyle w:val="TableContents"/>
              <w:bidi w:val="0"/>
              <w:spacing w:before="0" w:after="283"/>
              <w:jc w:val="both"/>
              <w:rPr/>
            </w:pPr>
            <w:r>
              <w:rPr>
                <w:u w:val="single"/>
              </w:rPr>
              <w:t>Form of Exercise Price</w:t>
            </w:r>
            <w:r>
              <w:rPr/>
              <w:t>. The Holder intends that payment of the Exercise Price shall be made as: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488"/>
        <w:gridCol w:w="9650"/>
      </w:tblGrid>
      <w:tr>
        <w:trPr/>
        <w:tc>
          <w:tcPr>
            <w:tcW w:w="6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pPr>
            <w:r>
              <w:rPr/>
              <w:t>(a)</w:t>
            </w:r>
          </w:p>
        </w:tc>
        <w:tc>
          <w:tcPr>
            <w:tcW w:w="9650" w:type="dxa"/>
            <w:tcBorders/>
            <w:vAlign w:val="center"/>
          </w:tcPr>
          <w:p>
            <w:pPr>
              <w:pStyle w:val="TableContents"/>
              <w:bidi w:val="0"/>
              <w:spacing w:before="0" w:after="283"/>
              <w:jc w:val="both"/>
              <w:rPr/>
            </w:pPr>
            <w:r>
              <w:rPr/>
              <w:t>a “</w:t>
            </w:r>
            <w:r>
              <w:rPr>
                <w:u w:val="single"/>
              </w:rPr>
              <w:t>Cash Exercise</w:t>
            </w:r>
            <w:r>
              <w:rPr/>
              <w:t>” with respect to Warrant Shares; and/or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543"/>
        <w:gridCol w:w="9591"/>
      </w:tblGrid>
      <w:tr>
        <w:trPr/>
        <w:tc>
          <w:tcPr>
            <w:tcW w:w="7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pPr>
            <w:r>
              <w:rPr/>
              <w:t>(b)</w:t>
            </w:r>
          </w:p>
        </w:tc>
        <w:tc>
          <w:tcPr>
            <w:tcW w:w="9591" w:type="dxa"/>
            <w:tcBorders/>
            <w:vAlign w:val="center"/>
          </w:tcPr>
          <w:p>
            <w:pPr>
              <w:pStyle w:val="TableContents"/>
              <w:bidi w:val="0"/>
              <w:spacing w:before="0" w:after="283"/>
              <w:jc w:val="both"/>
              <w:rPr/>
            </w:pPr>
            <w:r>
              <w:rPr/>
              <w:t>a “</w:t>
            </w:r>
            <w:r>
              <w:rPr>
                <w:u w:val="single"/>
              </w:rPr>
              <w:t>Cashless Exercise</w:t>
            </w:r>
            <w:r>
              <w:rPr/>
              <w:t>” with respect to Warrant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1(d) the Holder [is][is not] exercising its option to have the VWAP determined by reference to [the VWAP on the Trading Day immediately preceding the date of the applicable Exercise Notice] or [the Bid Price of the Common Stock on the principal Trading Market as reported by Bloomberg as of the time of the Holder’s execution of the applicable Exercise Notice if such Exercise Notice is executed during “regular trading hours” on a Trading Day and is delivered within two (2) hours thereafter (including until two (2) hours after the close of “regular trading hours” on a Trading Day) pursuant to Section 1(d) of the Warrant].</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u w:val="single"/>
              </w:rPr>
              <w:t>Pa</w:t>
            </w:r>
            <w:r>
              <w:rPr/>
              <w:t>y</w:t>
            </w:r>
            <w:r>
              <w:rPr>
                <w:u w:val="single"/>
              </w:rPr>
              <w:t>ment of Exercise Price</w:t>
            </w:r>
            <w:r>
              <w:rPr/>
              <w:t xml:space="preserve">. In the event that </w:t>
            </w:r>
            <w:r>
              <w:rPr>
                <w:u w:val="single"/>
              </w:rPr>
              <w:t>the</w:t>
            </w:r>
            <w:r>
              <w:rPr/>
              <w:t xml:space="preserve"> holder has elected a Cash Exercise with respect to some or all of the Warrant Shares to be issued pursuant hereto, the holder shall pay the Aggregate Exercise Price in the sum of $[ ] to the Company in accordance with the terms of the Warrant.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3.</w:t>
            </w:r>
          </w:p>
        </w:tc>
        <w:tc>
          <w:tcPr>
            <w:tcW w:w="10020" w:type="dxa"/>
            <w:tcBorders/>
            <w:vAlign w:val="center"/>
          </w:tcPr>
          <w:p>
            <w:pPr>
              <w:pStyle w:val="TableContents"/>
              <w:bidi w:val="0"/>
              <w:spacing w:before="0" w:after="283"/>
              <w:jc w:val="both"/>
              <w:rPr/>
            </w:pPr>
            <w:r>
              <w:rPr>
                <w:u w:val="single"/>
              </w:rPr>
              <w:t>Beneficial Ownership Representation</w:t>
            </w:r>
            <w:r>
              <w:rPr/>
              <w:t>. Notwithstanding anything to the contrary contained herein, this Exercise Notice shall constitute a representation by the Holder of the Warrant submitting this Exercise Notice that after giving effect to the exercise provided for in this Exercise Notice, such Holder (together with its affiliates) will not have beneficial ownership (together with the beneficial ownership of such Person’s affiliates) of a number of shares of Common Stock which exceeds the Maximum Percentage (as defined in the Warrant) of the total outstanding shares of Common Stock of the Company as determined pursuant to the provisions of Section 1(e) of the Warrant.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4.</w:t>
            </w:r>
          </w:p>
        </w:tc>
        <w:tc>
          <w:tcPr>
            <w:tcW w:w="9982" w:type="dxa"/>
            <w:tcBorders/>
            <w:vAlign w:val="center"/>
          </w:tcPr>
          <w:p>
            <w:pPr>
              <w:pStyle w:val="TableContents"/>
              <w:bidi w:val="0"/>
              <w:spacing w:before="0" w:after="283"/>
              <w:jc w:val="both"/>
              <w:rPr/>
            </w:pPr>
            <w:r>
              <w:rPr>
                <w:u w:val="single"/>
              </w:rPr>
              <w:t>Delivery of Warrant Shares</w:t>
            </w:r>
            <w:r>
              <w:rPr/>
              <w:t>. The Company shall deliver to the holder [ ] Warrant Shares in accordance with the terms of the Warrant.</w:t>
            </w:r>
          </w:p>
        </w:tc>
      </w:tr>
    </w:tbl>
    <w:p>
      <w:pPr>
        <w:pStyle w:val="TextBody"/>
        <w:bidi w:val="0"/>
        <w:spacing w:before="0" w:after="0"/>
        <w:jc w:val="left"/>
        <w:rPr>
          <w:caps w:val="false"/>
          <w:smallCaps w:val="false"/>
        </w:rPr>
      </w:pPr>
      <w:r>
        <w:rPr>
          <w:caps w:val="false"/>
          <w:smallCaps w:val="false"/>
        </w:rPr>
        <w:t> </w:t>
      </w:r>
    </w:p>
    <w:tbl>
      <w:tblPr>
        <w:tblW w:w="650" w:type="dxa"/>
        <w:jc w:val="left"/>
        <w:tblInd w:w="0" w:type="dxa"/>
        <w:tblLayout w:type="fixed"/>
        <w:tblCellMar>
          <w:top w:w="0" w:type="dxa"/>
          <w:left w:w="0" w:type="dxa"/>
          <w:bottom w:w="0" w:type="dxa"/>
          <w:right w:w="0" w:type="dxa"/>
        </w:tblCellMar>
      </w:tblPr>
      <w:tblGrid>
        <w:gridCol w:w="530"/>
        <w:gridCol w:w="60"/>
        <w:gridCol w:w="60"/>
      </w:tblGrid>
      <w:tr>
        <w:trPr/>
        <w:tc>
          <w:tcPr>
            <w:tcW w:w="530" w:type="dxa"/>
            <w:tcBorders/>
            <w:vAlign w:val="center"/>
          </w:tcPr>
          <w:p>
            <w:pPr>
              <w:pStyle w:val="TableContents"/>
              <w:bidi w:val="0"/>
              <w:spacing w:before="0" w:after="283"/>
              <w:jc w:val="left"/>
              <w:rPr/>
            </w:pPr>
            <w:r>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Registered Holder</w:t>
      </w:r>
    </w:p>
    <w:p>
      <w:pPr>
        <w:pStyle w:val="TextBody"/>
        <w:bidi w:val="0"/>
        <w:spacing w:before="0" w:after="0"/>
        <w:ind w:left="0" w:right="0" w:hanging="0"/>
        <w:jc w:val="left"/>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335"/>
        <w:gridCol w:w="545"/>
        <w:gridCol w:w="75"/>
      </w:tblGrid>
      <w:tr>
        <w:trPr/>
        <w:tc>
          <w:tcPr>
            <w:tcW w:w="335" w:type="dxa"/>
            <w:tcBorders/>
            <w:vAlign w:val="center"/>
          </w:tcPr>
          <w:p>
            <w:pPr>
              <w:pStyle w:val="TableContents"/>
              <w:bidi w:val="0"/>
              <w:spacing w:before="0" w:after="283"/>
              <w:jc w:val="left"/>
              <w:rPr>
                <w:sz w:val="20"/>
              </w:rPr>
            </w:pPr>
            <w:r>
              <w:rPr>
                <w:sz w:val="20"/>
              </w:rPr>
              <w:t>By:</w:t>
            </w:r>
          </w:p>
        </w:tc>
        <w:tc>
          <w:tcPr>
            <w:tcW w:w="54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this Exercise Notice and hereby directs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to issue the above indicated number of shares of Common Stock on or prior to the applicable Share Delivery Date.</w:t>
      </w:r>
    </w:p>
    <w:p>
      <w:pPr>
        <w:pStyle w:val="TextBody"/>
        <w:bidi w:val="0"/>
        <w:spacing w:before="0" w:after="0"/>
        <w:ind w:left="0" w:right="0" w:firstLine="720"/>
        <w:jc w:val="both"/>
        <w:rPr>
          <w:caps w:val="false"/>
          <w:smallCaps w:val="false"/>
        </w:rPr>
      </w:pPr>
      <w:r>
        <w:rPr>
          <w:caps w:val="false"/>
          <w:smallCaps w:val="false"/>
        </w:rPr>
        <w:t> </w:t>
      </w:r>
    </w:p>
    <w:tbl>
      <w:tblPr>
        <w:tblW w:w="2419" w:type="dxa"/>
        <w:jc w:val="left"/>
        <w:tblInd w:w="0" w:type="dxa"/>
        <w:tblLayout w:type="fixed"/>
        <w:tblCellMar>
          <w:top w:w="0" w:type="dxa"/>
          <w:left w:w="0" w:type="dxa"/>
          <w:bottom w:w="0" w:type="dxa"/>
          <w:right w:w="0" w:type="dxa"/>
        </w:tblCellMar>
      </w:tblPr>
      <w:tblGrid>
        <w:gridCol w:w="75"/>
        <w:gridCol w:w="2028"/>
        <w:gridCol w:w="316"/>
      </w:tblGrid>
      <w:tr>
        <w:trPr/>
        <w:tc>
          <w:tcPr>
            <w:tcW w:w="75"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left"/>
              <w:rPr>
                <w:sz w:val="20"/>
              </w:rPr>
            </w:pPr>
            <w:r>
              <w:rPr>
                <w:sz w:val="20"/>
              </w:rPr>
              <w:t>CENTRUS ENERGY CORP.</w:t>
            </w:r>
          </w:p>
        </w:tc>
      </w:tr>
      <w:tr>
        <w:trPr/>
        <w:tc>
          <w:tcPr>
            <w:tcW w:w="75"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28" w:type="dxa"/>
            <w:tcBorders/>
            <w:vAlign w:val="center"/>
          </w:tcPr>
          <w:p>
            <w:pPr>
              <w:pStyle w:val="TableContents"/>
              <w:bidi w:val="0"/>
              <w:spacing w:before="0" w:after="283"/>
              <w:jc w:val="left"/>
              <w:rPr>
                <w:sz w:val="20"/>
              </w:rPr>
            </w:pPr>
            <w:r>
              <w:rPr>
                <w:sz w:val="20"/>
              </w:rPr>
              <w:t>By:</w:t>
            </w:r>
          </w:p>
        </w:tc>
        <w:tc>
          <w:tcPr>
            <w:tcW w:w="31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28" w:type="dxa"/>
            <w:tcBorders/>
            <w:vAlign w:val="center"/>
          </w:tcPr>
          <w:p>
            <w:pPr>
              <w:pStyle w:val="TableContents"/>
              <w:bidi w:val="0"/>
              <w:spacing w:before="0" w:after="283"/>
              <w:jc w:val="left"/>
              <w:rPr>
                <w:sz w:val="20"/>
              </w:rPr>
            </w:pPr>
            <w:r>
              <w:rPr>
                <w:sz w:val="20"/>
              </w:rPr>
              <w:t>Name:</w:t>
            </w:r>
          </w:p>
        </w:tc>
        <w:tc>
          <w:tcPr>
            <w:tcW w:w="3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28" w:type="dxa"/>
            <w:tcBorders/>
            <w:vAlign w:val="center"/>
          </w:tcPr>
          <w:p>
            <w:pPr>
              <w:pStyle w:val="TableContents"/>
              <w:bidi w:val="0"/>
              <w:spacing w:before="0" w:after="283"/>
              <w:jc w:val="left"/>
              <w:rPr>
                <w:sz w:val="20"/>
              </w:rPr>
            </w:pPr>
            <w:r>
              <w:rPr>
                <w:sz w:val="20"/>
              </w:rPr>
              <w:t>Title:</w:t>
            </w:r>
          </w:p>
        </w:tc>
        <w:tc>
          <w:tcPr>
            <w:tcW w:w="31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exercise the Warrant to purchase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hanging="0"/>
        <w:jc w:val="left"/>
        <w:rPr>
          <w:caps w:val="false"/>
          <w:smallCaps w:val="false"/>
        </w:rPr>
      </w:pPr>
      <w:r>
        <w:rPr>
          <w:caps w:val="false"/>
          <w:smallCaps w:val="false"/>
        </w:rPr>
        <w:t> </w:t>
      </w:r>
    </w:p>
    <w:tbl>
      <w:tblPr>
        <w:tblW w:w="2769" w:type="dxa"/>
        <w:jc w:val="left"/>
        <w:tblInd w:w="0" w:type="dxa"/>
        <w:tblLayout w:type="fixed"/>
        <w:tblCellMar>
          <w:top w:w="0" w:type="dxa"/>
          <w:left w:w="0" w:type="dxa"/>
          <w:bottom w:w="0" w:type="dxa"/>
          <w:right w:w="0" w:type="dxa"/>
        </w:tblCellMar>
      </w:tblPr>
      <w:tblGrid>
        <w:gridCol w:w="1443"/>
        <w:gridCol w:w="166"/>
        <w:gridCol w:w="60"/>
        <w:gridCol w:w="1100"/>
      </w:tblGrid>
      <w:tr>
        <w:trPr/>
        <w:tc>
          <w:tcPr>
            <w:tcW w:w="16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16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16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16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B-1</w:t>
      </w:r>
    </w:p>
    <w:p>
      <w:pPr>
        <w:pStyle w:val="TextBody"/>
        <w:bidi w:val="0"/>
        <w:spacing w:before="0" w:after="283"/>
        <w:jc w:val="left"/>
        <w:rPr/>
      </w:pPr>
      <w:r>
        <w:rPr/>
        <w:t> </w:t>
      </w:r>
    </w:p>
    <w:p>
      <w:pPr>
        <w:pStyle w:val="TextBody"/>
        <w:bidi w:val="0"/>
        <w:jc w:val="left"/>
        <w:rPr/>
      </w:pPr>
      <w:bookmarkStart w:id="29" w:name="tm2625019d5_ex5-1.htm"/>
      <w:bookmarkStart w:id="30" w:name="kstm2625019d5_ex51"/>
      <w:bookmarkEnd w:id="29"/>
      <w:bookmarkEnd w:id="30"/>
      <w:r>
        <w:rPr/>
        <w:t> </w:t>
      </w:r>
      <w:r>
        <w:br w:type="page"/>
      </w:r>
    </w:p>
    <w:p>
      <w:pPr>
        <w:pStyle w:val="TextBody"/>
        <w:bidi w:val="0"/>
        <w:jc w:val="right"/>
        <w:rPr>
          <w:b/>
        </w:rPr>
      </w:pPr>
      <w:r>
        <w:rPr>
          <w:b/>
        </w:rPr>
        <w:t>EXHIBIT 5.1</w:t>
      </w:r>
    </w:p>
    <w:p>
      <w:pPr>
        <w:pStyle w:val="TextBody"/>
        <w:bidi w:val="0"/>
        <w:spacing w:before="0" w:after="283"/>
        <w:jc w:val="left"/>
        <w:rPr/>
      </w:pPr>
      <w:r>
        <w:rPr/>
        <w:t> </w:t>
      </w:r>
    </w:p>
    <w:p>
      <w:pPr>
        <w:pStyle w:val="TextBody"/>
        <w:bidi w:val="0"/>
        <w:jc w:val="right"/>
        <w:rPr/>
      </w:pPr>
      <w:r>
        <w:rPr/>
        <w:drawing>
          <wp:inline distT="0" distB="0" distL="0" distR="0">
            <wp:extent cx="120015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00150" cy="323850"/>
                    </a:xfrm>
                    <a:prstGeom prst="rect">
                      <a:avLst/>
                    </a:prstGeom>
                  </pic:spPr>
                </pic:pic>
              </a:graphicData>
            </a:graphic>
          </wp:inline>
        </w:drawing>
      </w:r>
      <w:r>
        <w:rPr/>
        <w:t> </w:t>
      </w:r>
    </w:p>
    <w:p>
      <w:pPr>
        <w:pStyle w:val="TextBody"/>
        <w:bidi w:val="0"/>
        <w:spacing w:before="0" w:after="283"/>
        <w:jc w:val="left"/>
        <w:rPr/>
      </w:pPr>
      <w:r>
        <w:rPr/>
        <w:t> </w:t>
      </w:r>
    </w:p>
    <w:tbl>
      <w:tblPr>
        <w:tblW w:w="6165" w:type="dxa"/>
        <w:jc w:val="left"/>
        <w:tblInd w:w="0" w:type="dxa"/>
        <w:tblLayout w:type="fixed"/>
        <w:tblCellMar>
          <w:top w:w="0" w:type="dxa"/>
          <w:left w:w="0" w:type="dxa"/>
          <w:bottom w:w="0" w:type="dxa"/>
          <w:right w:w="0" w:type="dxa"/>
        </w:tblCellMar>
      </w:tblPr>
      <w:tblGrid>
        <w:gridCol w:w="2885"/>
        <w:gridCol w:w="1925"/>
        <w:gridCol w:w="1355"/>
      </w:tblGrid>
      <w:tr>
        <w:trPr/>
        <w:tc>
          <w:tcPr>
            <w:tcW w:w="2885" w:type="dxa"/>
            <w:tcBorders/>
            <w:vAlign w:val="center"/>
          </w:tcPr>
          <w:p>
            <w:pPr>
              <w:pStyle w:val="TableContents"/>
              <w:bidi w:val="0"/>
              <w:spacing w:before="0" w:after="283"/>
              <w:jc w:val="left"/>
              <w:rPr/>
            </w:pPr>
            <w:r>
              <w:rPr/>
              <w:t>O’Melveny &amp; Myers LLP</w:t>
            </w:r>
          </w:p>
        </w:tc>
        <w:tc>
          <w:tcPr>
            <w:tcW w:w="1925" w:type="dxa"/>
            <w:tcBorders/>
            <w:vAlign w:val="center"/>
          </w:tcPr>
          <w:p>
            <w:pPr>
              <w:pStyle w:val="TableContents"/>
              <w:bidi w:val="0"/>
              <w:spacing w:before="0" w:after="283"/>
              <w:jc w:val="left"/>
              <w:rPr/>
            </w:pPr>
            <w:r>
              <w:rPr/>
              <w:t>T: +1 212 326 2000</w:t>
            </w:r>
          </w:p>
        </w:tc>
        <w:tc>
          <w:tcPr>
            <w:tcW w:w="1355" w:type="dxa"/>
            <w:tcBorders/>
            <w:vAlign w:val="center"/>
          </w:tcPr>
          <w:p>
            <w:pPr>
              <w:pStyle w:val="TableContents"/>
              <w:bidi w:val="0"/>
              <w:spacing w:before="0" w:after="283"/>
              <w:jc w:val="left"/>
              <w:rPr/>
            </w:pPr>
            <w:r>
              <w:rPr/>
              <w:t xml:space="preserve">File Number: </w:t>
            </w:r>
          </w:p>
        </w:tc>
      </w:tr>
      <w:tr>
        <w:trPr/>
        <w:tc>
          <w:tcPr>
            <w:tcW w:w="2885" w:type="dxa"/>
            <w:tcBorders/>
            <w:vAlign w:val="center"/>
          </w:tcPr>
          <w:p>
            <w:pPr>
              <w:pStyle w:val="TableContents"/>
              <w:bidi w:val="0"/>
              <w:spacing w:before="0" w:after="283"/>
              <w:jc w:val="left"/>
              <w:rPr/>
            </w:pPr>
            <w:r>
              <w:rPr/>
              <w:t>1301 Avenue of the Americas</w:t>
            </w:r>
          </w:p>
        </w:tc>
        <w:tc>
          <w:tcPr>
            <w:tcW w:w="1925" w:type="dxa"/>
            <w:tcBorders/>
            <w:vAlign w:val="center"/>
          </w:tcPr>
          <w:p>
            <w:pPr>
              <w:pStyle w:val="TableContents"/>
              <w:bidi w:val="0"/>
              <w:spacing w:before="0" w:after="283"/>
              <w:jc w:val="left"/>
              <w:rPr/>
            </w:pPr>
            <w:r>
              <w:rPr/>
              <w:t>F: +1 212 326 2061</w:t>
            </w:r>
          </w:p>
        </w:tc>
        <w:tc>
          <w:tcPr>
            <w:tcW w:w="135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Suite 1700</w:t>
            </w:r>
          </w:p>
        </w:tc>
        <w:tc>
          <w:tcPr>
            <w:tcW w:w="1925" w:type="dxa"/>
            <w:tcBorders/>
            <w:vAlign w:val="center"/>
          </w:tcPr>
          <w:p>
            <w:pPr>
              <w:pStyle w:val="TableContents"/>
              <w:bidi w:val="0"/>
              <w:spacing w:before="0" w:after="283"/>
              <w:jc w:val="left"/>
              <w:rPr/>
            </w:pPr>
            <w:r>
              <w:rPr/>
              <w:t>omm.com</w:t>
            </w:r>
          </w:p>
        </w:tc>
        <w:tc>
          <w:tcPr>
            <w:tcW w:w="135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New York, NY 10019-6022</w:t>
            </w:r>
          </w:p>
        </w:tc>
        <w:tc>
          <w:tcPr>
            <w:tcW w:w="1925"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Centrus Energy Corp.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6901 Rockledge Drive, Suite 800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Bethesda, MD 20817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 Offering of the Shares of Common Stock, Common Warrants and Pre-Funded Warrants of Centrus Energy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Centrus Energy Corp.,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offer and sale by the Company under the prospectus supplement, dated September 9, 2026, of an aggregate of 500,000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the Company’s Class A common stock, par value $0.10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pre-funded warrants to purchase 2,005,513 shares of Common Stock (the “</w:t>
      </w:r>
      <w:r>
        <w:rPr>
          <w:rFonts w:ascii="Times New Roman;Times;Serif" w:hAnsi="Times New Roman;Times;Serif"/>
          <w:b/>
          <w:i/>
          <w:caps w:val="false"/>
          <w:smallCaps w:val="false"/>
          <w:sz w:val="20"/>
        </w:rPr>
        <w:t>Pre-Funded Warrants</w:t>
      </w:r>
      <w:r>
        <w:rPr>
          <w:rFonts w:ascii="Times New Roman;Times;Serif" w:hAnsi="Times New Roman;Times;Serif"/>
          <w:b w:val="false"/>
          <w:i w:val="false"/>
          <w:caps w:val="false"/>
          <w:smallCaps w:val="false"/>
          <w:sz w:val="20"/>
        </w:rPr>
        <w:t>”) and common warrants to purchase 6,992,382 shares of Common Stock (the “</w:t>
      </w:r>
      <w:r>
        <w:rPr>
          <w:rFonts w:ascii="Times New Roman;Times;Serif" w:hAnsi="Times New Roman;Times;Serif"/>
          <w:b/>
          <w:i/>
          <w:caps w:val="false"/>
          <w:smallCaps w:val="false"/>
          <w:sz w:val="20"/>
        </w:rPr>
        <w:t>Common Warrants</w:t>
      </w:r>
      <w:r>
        <w:rPr>
          <w:rFonts w:ascii="Times New Roman;Times;Serif" w:hAnsi="Times New Roman;Times;Serif"/>
          <w:b w:val="false"/>
          <w:i w:val="false"/>
          <w:caps w:val="false"/>
          <w:smallCaps w:val="false"/>
          <w:sz w:val="20"/>
        </w:rPr>
        <w:t>” and, together with the Pre-Funded Warrants,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pursuant to the underwriting agreement, dated September 11, 2026 (the “</w:t>
      </w:r>
      <w:r>
        <w:rPr>
          <w:rFonts w:ascii="Times New Roman;Times;Serif" w:hAnsi="Times New Roman;Times;Serif"/>
          <w:b/>
          <w:i/>
          <w:caps w:val="false"/>
          <w:smallCaps w:val="false"/>
          <w:sz w:val="20"/>
        </w:rPr>
        <w:t>Underwriting Agreement</w:t>
      </w:r>
      <w:r>
        <w:rPr>
          <w:rFonts w:ascii="Times New Roman;Times;Serif" w:hAnsi="Times New Roman;Times;Serif"/>
          <w:b w:val="false"/>
          <w:i w:val="false"/>
          <w:caps w:val="false"/>
          <w:smallCaps w:val="false"/>
          <w:sz w:val="20"/>
        </w:rPr>
        <w:t>”), between the Company and the underwriters named therein. The shares of Common Stock issuable upon exercise of the Warrants are referred to herein as the “</w:t>
      </w:r>
      <w:r>
        <w:rPr>
          <w:rFonts w:ascii="Times New Roman;Times;Serif" w:hAnsi="Times New Roman;Times;Serif"/>
          <w:b/>
          <w:i/>
          <w:caps w:val="false"/>
          <w:smallCaps w:val="false"/>
          <w:sz w:val="20"/>
        </w:rPr>
        <w:t>Warrant Shares</w:t>
      </w:r>
      <w:r>
        <w:rPr>
          <w:rFonts w:ascii="Times New Roman;Times;Serif" w:hAnsi="Times New Roman;Times;Serif"/>
          <w:b w:val="false"/>
          <w:i w:val="false"/>
          <w:caps w:val="false"/>
          <w:smallCaps w:val="false"/>
          <w:sz w:val="20"/>
        </w:rPr>
        <w:t>” (together with the Shares and the Warrants, the “</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The Securities are being offered and sold pursuant to an automatic shelf registration statement on Form S-3ASR (File No. 333-291305)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initially filed by the Company with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on November 6, 2025. The Registration Statement automatically became effective upon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capacity as such counsel, we have examined originals or copies of those corporate and other records and documents we considered appropriate, including, among other things, the following:</w:t>
      </w:r>
    </w:p>
    <w:p>
      <w:pPr>
        <w:pStyle w:val="TextBody"/>
        <w:bidi w:val="0"/>
        <w:spacing w:before="0" w:after="0"/>
        <w:ind w:left="0" w:right="0" w:hanging="0"/>
        <w:jc w:val="left"/>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275"/>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2570" w:type="dxa"/>
            <w:tcBorders/>
            <w:vAlign w:val="center"/>
          </w:tcPr>
          <w:p>
            <w:pPr>
              <w:pStyle w:val="TableContents"/>
              <w:bidi w:val="0"/>
              <w:spacing w:before="0" w:after="283"/>
              <w:jc w:val="both"/>
              <w:rPr/>
            </w:pPr>
            <w:r>
              <w:rPr/>
              <w:t>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both"/>
              <w:rPr/>
            </w:pPr>
            <w:r>
              <w:rPr/>
              <w:t>the Amended and Restated Certificate of Incorporation of the Company with the Secretary of State of the State of Delaware on September 30, 2014 and as further amended through the date hereof (the “</w:t>
            </w:r>
            <w:r>
              <w:rPr>
                <w:b/>
                <w:i/>
              </w:rPr>
              <w:t>Certificate of Incorporation</w:t>
            </w:r>
            <w:r>
              <w:rPr/>
              <w:t>”), and the Amended and Restated By-laws of the Company, as amended through the date hereof (the “</w:t>
            </w:r>
            <w:r>
              <w:rPr>
                <w:b/>
                <w:i/>
              </w:rPr>
              <w:t>Bylaws</w:t>
            </w:r>
            <w:r>
              <w:rPr/>
              <w:t>” and, together with the Certificate of Incorporation, the “</w:t>
            </w:r>
            <w:r>
              <w:rPr>
                <w:b/>
                <w:i/>
              </w:rPr>
              <w:t>Organizational Documents</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(c)</w:t>
            </w:r>
          </w:p>
        </w:tc>
        <w:tc>
          <w:tcPr>
            <w:tcW w:w="9938" w:type="dxa"/>
            <w:tcBorders/>
            <w:vAlign w:val="center"/>
          </w:tcPr>
          <w:p>
            <w:pPr>
              <w:pStyle w:val="TableContents"/>
              <w:bidi w:val="0"/>
              <w:spacing w:before="0" w:after="283"/>
              <w:jc w:val="both"/>
              <w:rPr/>
            </w:pPr>
            <w:r>
              <w:rPr/>
              <w:t>originals or copies of resolutions of the board of directors and Pricing Committee of the board of directors of the Company relating to the preparation and filing of the Registration Statement, the offering of the Securities and related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Austin • Century City • Dallas • Houston • Los Angeles • Newport Beach • New York • San Francisco • Silicon Valley • Washington, DC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 Brussels • Hong Kong • London • Seoul • Shanghai • 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the genuineness of all signatures, the authenticity of all documents submitted to us as originals and the conformity with originals of all documents submitted to us as copies.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this examination, our reliance upon the assumptions in this letter and our consideration of those questions of law we considered relevant, and subject to the limitations and qualifications in this letter, we are of the opinion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1.</w:t>
            </w:r>
          </w:p>
        </w:tc>
        <w:tc>
          <w:tcPr>
            <w:tcW w:w="10009" w:type="dxa"/>
            <w:tcBorders/>
            <w:vAlign w:val="center"/>
          </w:tcPr>
          <w:p>
            <w:pPr>
              <w:pStyle w:val="TableContents"/>
              <w:bidi w:val="0"/>
              <w:spacing w:before="0" w:after="283"/>
              <w:jc w:val="both"/>
              <w:rPr/>
            </w:pPr>
            <w:r>
              <w:rPr/>
              <w:t>The issuance and sale of the Shares have been duly authorized by all necessary corporate action on the part of the Company, and upon payment for and delivery of the Shares in accordance with the Underwriting Agreement, the Shares will be validly issued, fully paid and non-assessable.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2.</w:t>
            </w:r>
          </w:p>
        </w:tc>
        <w:tc>
          <w:tcPr>
            <w:tcW w:w="10025" w:type="dxa"/>
            <w:tcBorders/>
            <w:vAlign w:val="center"/>
          </w:tcPr>
          <w:p>
            <w:pPr>
              <w:pStyle w:val="TableContents"/>
              <w:bidi w:val="0"/>
              <w:spacing w:before="0" w:after="283"/>
              <w:jc w:val="both"/>
              <w:rPr/>
            </w:pPr>
            <w:r>
              <w:rPr/>
              <w:t>The Warrants have been duly authorized by all necessary corporate action on the part of the Company and, upon payment for and delivery of the Warrants in accordance with the Underwriting Agreement and the terms of the applicable Warrant, and execution and delivery of such Warrant by an authorized signatory of the Company, such Warrant will constitute the legally valid and binding obligation of the Company, enforceable against the Company in accordance with its terms, except as may be limited by bankruptcy, insolvency, reorganization, moratorium or similar laws relating to or affecting creditors’ rights generally (including, without limitation, fraudulent conveyance laws) and by general principles of equity, including, without limitation, concepts of materiality, reasonableness, good faith and fair dealing and the possible unavailability of specific performance or injunctive relief, regardless of whether considered in a proceeding in equity or at law. We express no opinion as to the validity, legally binding effect or enforceability of the provisions relating to disclaimers, waivers, releases, indemnities, hold harmless provisions, exculpations, provisions for contribution and liquidated damages, and other provisions, however expressed, altering or eliminating the rights, liabilities or remedies a party otherwise would have, nor any provision having the effect of modifying the statute of limitations.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Upon exercise of the Warrants, and when the Warrant Shares are issued and delivered against payment of the exercise price therefor as provided in the applicable Warrant, the Warrant Shares will be validly issued, fully paid and non-assessable.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in paragraph 3 assumes that, at all times prior to the issuance of the Warrant Shares, the Company will maintain a sufficient number of duly authorized and unissued shares of Common Stock available for the issuance of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 covered by this letter is limited to the present federal law of the United States, the present law of the State of New York and the present General Corporation Law of the State of Delaware that we have, in the exercise of customary professional diligence, recognized as applicable to the Company or to transactions of the type contemplated by the Underwriting Agreement. We express no opinion as to the laws of any other jurisdiction and no opinion regarding the statutes, administrative decisions, rules, regulations or requirements of any county, municipality, subdivision or local authority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is being furnished in accordance with the requirements of Item 601(b)(5) of Regulation S-K promulgated under the Securities Act, and no opinion is expressed herein as to any matter pertaining to the contents of the Registration Statement, the prospectus included in the Registration Statement or any prospectus supplement, other than as expressly stated herein with respect to the Securities. This letter is expressly limited to the matters set forth above, and we render no opinion, whether by implication or otherwise, as to any other matters. This letter speaks only as of the date hereof and we assume no obligation to update or supplement this letter to reflect any facts or circumstances that arise after the date hereof and come to our attention or any future changes in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letter as Exhibit 5.1 to a Current Report on Form 8-K and to the incorporation by reference of this letter into the Registration Statement, and to the reference to this firm under the heading “Legal Matters” in the Registration Statement and related prospectus. In giving such consent, we do not hereby admit that we are within the category of persons whose consent is required under Section 7 of the Securities Act or the rules or regulations of the SEC thereunder.</w:t>
      </w:r>
    </w:p>
    <w:p>
      <w:pPr>
        <w:pStyle w:val="TextBody"/>
        <w:bidi w:val="0"/>
        <w:spacing w:before="0" w:after="0"/>
        <w:ind w:left="0" w:right="0" w:hanging="0"/>
        <w:jc w:val="left"/>
        <w:rPr>
          <w:caps w:val="false"/>
          <w:smallCaps w:val="false"/>
        </w:rPr>
      </w:pPr>
      <w:r>
        <w:rPr>
          <w:caps w:val="false"/>
          <w:smallCaps w:val="false"/>
        </w:rPr>
        <w:t> </w:t>
      </w:r>
    </w:p>
    <w:tbl>
      <w:tblPr>
        <w:tblW w:w="2420" w:type="dxa"/>
        <w:jc w:val="left"/>
        <w:tblInd w:w="0" w:type="dxa"/>
        <w:tblLayout w:type="fixed"/>
        <w:tblCellMar>
          <w:top w:w="0" w:type="dxa"/>
          <w:left w:w="0" w:type="dxa"/>
          <w:bottom w:w="0" w:type="dxa"/>
          <w:right w:w="0" w:type="dxa"/>
        </w:tblCellMar>
      </w:tblPr>
      <w:tblGrid>
        <w:gridCol w:w="75"/>
        <w:gridCol w:w="23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Respectfully submitted,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O’Melveny &amp; Myers LLP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O’Melveny &amp; Myers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31" w:name="tm2625019d5_ex99-1.htm"/>
      <w:bookmarkStart w:id="32" w:name="kstm2625019d5_ex991"/>
      <w:bookmarkEnd w:id="31"/>
      <w:bookmarkEnd w:id="32"/>
      <w:r>
        <w:rPr/>
        <w:t> </w:t>
      </w:r>
      <w:r>
        <w:br w:type="page"/>
      </w:r>
    </w:p>
    <w:p>
      <w:pPr>
        <w:pStyle w:val="TextBody"/>
        <w:bidi w:val="0"/>
        <w:jc w:val="right"/>
        <w:rPr>
          <w:b/>
          <w:caps/>
        </w:rPr>
      </w:pPr>
      <w:r>
        <w:rPr>
          <w:b/>
          <w:caps/>
        </w:rPr>
        <w:t>Exhibit 99.1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color w:val="2B2A32"/>
          <w:sz w:val="20"/>
        </w:rPr>
      </w:pPr>
      <w:r>
        <w:rPr>
          <w:rFonts w:ascii="Times New Roman;Times;Serif" w:hAnsi="Times New Roman;Times;Serif"/>
          <w:b/>
          <w:i w:val="false"/>
          <w:caps w:val="false"/>
          <w:smallCaps w:val="false"/>
          <w:color w:val="2B2A32"/>
          <w:sz w:val="20"/>
        </w:rPr>
        <w:t>Centrus Announces Proposed Public Underwritten Offering of Class A Common Stock and Warrants</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2527"/>
          <w:sz w:val="20"/>
        </w:rPr>
      </w:pPr>
      <w:r>
        <w:rPr>
          <w:rFonts w:ascii="Times New Roman;Times;Serif" w:hAnsi="Times New Roman;Times;Serif"/>
          <w:b w:val="false"/>
          <w:i w:val="false"/>
          <w:caps w:val="false"/>
          <w:smallCaps w:val="false"/>
          <w:color w:val="232527"/>
          <w:sz w:val="20"/>
        </w:rPr>
        <w:t>9/9/2026</w:t>
      </w:r>
    </w:p>
    <w:p>
      <w:pPr>
        <w:pStyle w:val="TextBody"/>
        <w:bidi w:val="0"/>
        <w:spacing w:before="0" w:after="0"/>
        <w:ind w:left="0" w:right="0" w:hanging="0"/>
        <w:jc w:val="left"/>
        <w:rPr>
          <w:caps w:val="false"/>
          <w:smallCaps w:val="false"/>
          <w:color w:val="232527"/>
        </w:rPr>
      </w:pPr>
      <w:r>
        <w:rPr>
          <w:caps w:val="false"/>
          <w:smallCaps w:val="false"/>
          <w:color w:val="232527"/>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B2A32"/>
          <w:sz w:val="20"/>
        </w:rPr>
      </w:pPr>
      <w:r>
        <w:rPr>
          <w:rFonts w:ascii="Times New Roman;Times;Serif" w:hAnsi="Times New Roman;Times;Serif"/>
          <w:b w:val="false"/>
          <w:i w:val="false"/>
          <w:caps w:val="false"/>
          <w:smallCaps w:val="false"/>
          <w:color w:val="2B2A32"/>
          <w:sz w:val="20"/>
        </w:rPr>
        <w:t>BETHESDA, Md.--(BUSINESS WIRE)—Centrus Energy Corp. (NYSE: LEU) (“Centrus” or the “Company”) today announced the launch of an underwritten public offering of shares of its Class A common stock (the “Class A Common Stock”), pre-funded warrants (the “Pre-Funded Warrants”) to purchase shares of Class A Common Stock and common warrants (the “Common Warrants”) to purchase shares of Class A Common Stock. The proposed offering is subject to market and other conditions, and there can be no assurance as to whether or when the proposed offering may be completed or as to its actual size or terms.</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B2A32"/>
          <w:sz w:val="20"/>
        </w:rPr>
      </w:pPr>
      <w:r>
        <w:rPr>
          <w:rFonts w:ascii="Times New Roman;Times;Serif" w:hAnsi="Times New Roman;Times;Serif"/>
          <w:b w:val="false"/>
          <w:i w:val="false"/>
          <w:caps w:val="false"/>
          <w:smallCaps w:val="false"/>
          <w:color w:val="2B2A32"/>
          <w:sz w:val="20"/>
        </w:rPr>
        <w:t>The Company intends to use the net proceeds from the proposed offering for general working capital and corporate purposes, which may include investment in technology development and deployment, repayment or repurchase of outstanding debt, capital expenditures, potential acquisitions and other business opportunities and purposes.</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B2A32"/>
          <w:sz w:val="20"/>
        </w:rPr>
      </w:pPr>
      <w:r>
        <w:rPr>
          <w:rFonts w:ascii="Times New Roman;Times;Serif" w:hAnsi="Times New Roman;Times;Serif"/>
          <w:b w:val="false"/>
          <w:i w:val="false"/>
          <w:caps w:val="false"/>
          <w:smallCaps w:val="false"/>
          <w:color w:val="2B2A32"/>
          <w:sz w:val="20"/>
        </w:rPr>
        <w:t>Guggenheim Securities is acting as lead book-running manager and Barclays is acting as a book-running manager for the proposed offering.</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B2A32"/>
          <w:sz w:val="20"/>
        </w:rPr>
        <w:t>A registration statement relating to these securities was filed with the Securities and Exchange Commission (“SEC”) on November 6, 2025 and became automatically effective upon filing. Any offer, solicitation or sale will be made only by means of the preliminary prospectus supplement and the accompanying prospectus. Current and potential investors should read the registration statement, the preliminary prospectus supplement and the accompanying prospectus, including the risk factors described therein and in the documents incorporated by reference therein, and the other documents that Centrus has filed with the SEC for more complete information about Centrus and the proposed offering, which may be obtained free of charge at the website maintained by the SEC at www.sec.gov. Copies of the preliminary prospectus supplement and the accompanying prospectus, when available, may be obtained free of charge from Guggenheim Securities, LLC</w:t>
      </w:r>
      <w:r>
        <w:rPr>
          <w:rFonts w:ascii="Times New Roman;Times;Serif" w:hAnsi="Times New Roman;Times;Serif"/>
          <w:b w:val="false"/>
          <w:i w:val="false"/>
          <w:caps w:val="false"/>
          <w:smallCaps w:val="false"/>
          <w:color w:val="232527"/>
          <w:sz w:val="20"/>
        </w:rPr>
        <w:t>, Attention: Equity Syndicate Department, 330 Madison Avenue, 8th Floor, New York, NY 10017, by telephone at (212) 518-9544, or by email at GSEquityProspectusDelivery@guggenheimpartners.com; and Barclays Capital Inc., c/o Broadridge Financial Solutions, 1155 Long Island Avenue, Edgewood, NY 11717 (or by email at barclaysprospectus@broadridge.com or telephone at 1-888-603-5847)</w:t>
      </w:r>
      <w:r>
        <w:rPr>
          <w:rFonts w:ascii="Times New Roman;Times;Serif" w:hAnsi="Times New Roman;Times;Serif"/>
          <w:b w:val="false"/>
          <w:i w:val="false"/>
          <w:caps w:val="false"/>
          <w:smallCaps w:val="false"/>
          <w:color w:val="2B2A32"/>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B2A32"/>
          <w:sz w:val="20"/>
        </w:rPr>
      </w:pPr>
      <w:r>
        <w:rPr>
          <w:rFonts w:ascii="Times New Roman;Times;Serif" w:hAnsi="Times New Roman;Times;Serif"/>
          <w:b w:val="false"/>
          <w:i w:val="false"/>
          <w:caps w:val="false"/>
          <w:smallCaps w:val="false"/>
          <w:color w:val="2B2A32"/>
          <w:sz w:val="20"/>
        </w:rPr>
        <w:t>This press release does not constitute an offer to sell or a solicitation of an offer to buy any securities, nor shall there be any offer or sale of securities in any state or jurisdiction in which the offer, solicitation, or sale would be unlawful prior to the registration or qualification thereof under the securities laws of any such state or jurisdiction.</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i w:val="false"/>
          <w:caps w:val="false"/>
          <w:smallCaps w:val="false"/>
          <w:color w:val="2B2A32"/>
          <w:sz w:val="20"/>
        </w:rPr>
      </w:pPr>
      <w:r>
        <w:rPr>
          <w:rFonts w:ascii="Times New Roman;Times;Serif" w:hAnsi="Times New Roman;Times;Serif"/>
          <w:b/>
          <w:i w:val="false"/>
          <w:caps w:val="false"/>
          <w:smallCaps w:val="false"/>
          <w:color w:val="2B2A32"/>
          <w:sz w:val="20"/>
        </w:rPr>
        <w:t>About Centrus Energy Corp.</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B2A32"/>
          <w:sz w:val="20"/>
        </w:rPr>
      </w:pPr>
      <w:r>
        <w:rPr>
          <w:rFonts w:ascii="Times New Roman;Times;Serif" w:hAnsi="Times New Roman;Times;Serif"/>
          <w:b w:val="false"/>
          <w:i w:val="false"/>
          <w:caps w:val="false"/>
          <w:smallCaps w:val="false"/>
          <w:color w:val="2B2A32"/>
          <w:sz w:val="20"/>
        </w:rPr>
        <w:t>Centrus Energy is a trusted American supplier of nuclear fuel and services for the nuclear power industry, helping meet the growing need for clean, affordable, carbon-free energy. Since 1998, the Company has provided its utility customers with more than 1,850 reactor years of fuel, which is equivalent to more than 7 billion tons of coal.</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B2A32"/>
          <w:sz w:val="20"/>
        </w:rPr>
      </w:pPr>
      <w:r>
        <w:rPr>
          <w:rFonts w:ascii="Times New Roman;Times;Serif" w:hAnsi="Times New Roman;Times;Serif"/>
          <w:b w:val="false"/>
          <w:i w:val="false"/>
          <w:caps w:val="false"/>
          <w:smallCaps w:val="false"/>
          <w:color w:val="2B2A32"/>
          <w:sz w:val="20"/>
        </w:rPr>
        <w:t>With world-class technical and engineering capabilities, Centrus is pioneering production of High-Assay, Low-Enriched Uranium and is leading the effort to restore America’s uranium enrichment capabilities at scale so that Centrus can meet America’s clean energy, energy security, and national security needs.</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i w:val="false"/>
          <w:caps w:val="false"/>
          <w:smallCaps w:val="false"/>
          <w:color w:val="2B2A32"/>
          <w:sz w:val="20"/>
        </w:rPr>
      </w:pPr>
      <w:r>
        <w:rPr>
          <w:rFonts w:ascii="Times New Roman;Times;Serif" w:hAnsi="Times New Roman;Times;Serif"/>
          <w:b/>
          <w:i w:val="false"/>
          <w:caps w:val="false"/>
          <w:smallCaps w:val="false"/>
          <w:color w:val="2B2A32"/>
          <w:sz w:val="20"/>
        </w:rPr>
        <w:t>Forward-Looking Statements</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B2A32"/>
          <w:sz w:val="20"/>
        </w:rPr>
      </w:pPr>
      <w:r>
        <w:rPr>
          <w:rFonts w:ascii="Times New Roman;Times;Serif" w:hAnsi="Times New Roman;Times;Serif"/>
          <w:b w:val="false"/>
          <w:i w:val="false"/>
          <w:caps w:val="false"/>
          <w:smallCaps w:val="false"/>
          <w:color w:val="2B2A32"/>
          <w:sz w:val="20"/>
        </w:rPr>
        <w:t>This press release includes “forward-looking statements” within the meaning of Section 21E of the Securities Exchange Act of 1934, as amended, and the Private Securities Litigation Reform Act of 1995, which in this context means statements that express Centrus’ opinions, expectations, objectives, beliefs, plans, intentions, strategies, assumptions, forecasts or projections regarding future events or future results and therefore are, or may be deemed to be, “forward-looking statements.” The words “may,” “will,” “could,” “should,” “expects,” “anticipates,” “intends,” “plans,” “believes,” “seeks,” “estimates,” “continue,” “might,” “possible,” “potential,” “predict,” “project,” “goal,” “would,” “commit,” or, in each case, their negative or other variations or comparable terminology, and similar expressions may identify forward-looking statements, but the absence of these words does not mean that a statement is not forward-looking. These forward-looking statements include all matters that are not historical facts. They appear in a number of places throughout this press release and include statements regarding Centrus’ intentions, beliefs or current expectations concerning, among other things, the completion, size, terms and timing of the proposed offering and the anticipated use of proceeds therefrom, results of operations, financial condition, liquidity, prospects, growth, strategies and the markets in which Centrus operates. Such forward-looking statements are based on information available as of the date of this press release, and current expectations, forecasts and assumptions, and involve a number of judgments, risks, and uncertainties.</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B2A32"/>
          <w:sz w:val="20"/>
        </w:rPr>
      </w:pPr>
      <w:r>
        <w:rPr>
          <w:rFonts w:ascii="Times New Roman;Times;Serif" w:hAnsi="Times New Roman;Times;Serif"/>
          <w:b w:val="false"/>
          <w:i w:val="false"/>
          <w:caps w:val="false"/>
          <w:smallCaps w:val="false"/>
          <w:color w:val="2B2A32"/>
          <w:sz w:val="20"/>
        </w:rPr>
        <w:t>Particular factors that involve uncertainty and could cause Centrus’ actual future results to differ materially from those expressed in its forward-looking statements and which are, and may be, exacerbated by any worsening of the global business and economic environment include but are not limited to the following: its ability to conclude negotiations with its customers; the war in Ukraine and other geopolitical conflicts; its government contracts, including related to changes to the U.S. government’s appropriated funding levels for HALEU, the government’s inability to satisfy its obligations, and its lease to its facility in Piketon, Ohio; whether or when government demand for HALEU or LEU for government or commercial uses will materialize and at what level; the impact and potential extended duration of a supply/demand imbalance in the market for LEU; significant competition from major LEU producers, including foreign competitors, that may be less cost sensitive than Centrus; limitations on its ability to compete in foreign markets; pricing trends and demand in the uranium and enrichment markets, especially in light of the potential of limited supply and its dependence on others for deliveries of LEU; and its ability to successfully implement its planned expansion projects in Piketon, Ohio and Oak Ridge, Tennessee.</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B2A32"/>
          <w:sz w:val="20"/>
        </w:rPr>
      </w:pPr>
      <w:r>
        <w:rPr>
          <w:rFonts w:ascii="Times New Roman;Times;Serif" w:hAnsi="Times New Roman;Times;Serif"/>
          <w:b w:val="false"/>
          <w:i w:val="false"/>
          <w:caps w:val="false"/>
          <w:smallCaps w:val="false"/>
          <w:color w:val="2B2A32"/>
          <w:sz w:val="20"/>
        </w:rPr>
        <w:t>Readers are cautioned not to place undue reliance on these forward-looking statements, which apply only as of the date of this press release. These factors may not constitute all factors that could cause actual results to differ from those discussed in any forward-looking statement. Accordingly, forward-looking statements should not be relied upon as a predictor of actual results. Readers are urged to carefully review and consider the various disclosures made in this press release and in Centrus’ filings with the SEC, including under Part I, Item 1A – “Risk Factors” in its most recent Annual Report on Form 10-K, under Part II, Item 1A – “Risk Factors” in its subsequent Quarterly Reports on Form 10-Q, and in its other filings with the SEC that attempt to advise interested parties of the risks and factors that may affect its business. Centrus does not undertake to update its forward-looking statements to reflect events or circumstances that may arise after the date of this press release, except as required by law.</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i w:val="false"/>
          <w:caps w:val="false"/>
          <w:smallCaps w:val="false"/>
          <w:color w:val="2B2A32"/>
          <w:sz w:val="20"/>
        </w:rPr>
      </w:pPr>
      <w:r>
        <w:rPr>
          <w:rFonts w:ascii="Times New Roman;Times;Serif" w:hAnsi="Times New Roman;Times;Serif"/>
          <w:b/>
          <w:i w:val="false"/>
          <w:caps w:val="false"/>
          <w:smallCaps w:val="false"/>
          <w:color w:val="2B2A32"/>
          <w:sz w:val="20"/>
        </w:rPr>
        <w:t>Contacts:</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B2A32"/>
          <w:sz w:val="20"/>
        </w:rPr>
      </w:pPr>
      <w:r>
        <w:rPr>
          <w:rFonts w:ascii="Times New Roman;Times;Serif" w:hAnsi="Times New Roman;Times;Serif"/>
          <w:b w:val="false"/>
          <w:i w:val="false"/>
          <w:caps w:val="false"/>
          <w:smallCaps w:val="false"/>
          <w:color w:val="2B2A32"/>
          <w:sz w:val="20"/>
        </w:rPr>
        <w:t>Media — Dan Leistikow</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B2A32"/>
          <w:sz w:val="20"/>
        </w:rPr>
      </w:pPr>
      <w:r>
        <w:rPr>
          <w:rFonts w:ascii="Times New Roman;Times;Serif" w:hAnsi="Times New Roman;Times;Serif"/>
          <w:b w:val="false"/>
          <w:i w:val="false"/>
          <w:caps w:val="false"/>
          <w:smallCaps w:val="false"/>
          <w:color w:val="2B2A32"/>
          <w:sz w:val="20"/>
        </w:rPr>
        <w:t>LeistikowD@centrusenergy.com</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B2A32"/>
          <w:sz w:val="20"/>
        </w:rPr>
      </w:pPr>
      <w:r>
        <w:rPr>
          <w:rFonts w:ascii="Times New Roman;Times;Serif" w:hAnsi="Times New Roman;Times;Serif"/>
          <w:b w:val="false"/>
          <w:i w:val="false"/>
          <w:caps w:val="false"/>
          <w:smallCaps w:val="false"/>
          <w:color w:val="2B2A32"/>
          <w:sz w:val="20"/>
        </w:rPr>
        <w:t>Investors — Neal Nagarajan</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B2A32"/>
          <w:sz w:val="20"/>
        </w:rPr>
      </w:pPr>
      <w:r>
        <w:rPr>
          <w:rFonts w:ascii="Times New Roman;Times;Serif" w:hAnsi="Times New Roman;Times;Serif"/>
          <w:b w:val="false"/>
          <w:i w:val="false"/>
          <w:caps w:val="false"/>
          <w:smallCaps w:val="false"/>
          <w:color w:val="2B2A32"/>
          <w:sz w:val="20"/>
        </w:rPr>
        <w:t>NagarajanNK@centrusenergy.com</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jc w:val="left"/>
        <w:rPr/>
      </w:pPr>
      <w:bookmarkStart w:id="33" w:name="tm2625019d5_ex99-2.htm"/>
      <w:bookmarkStart w:id="34" w:name="kstm2625019d5_ex992"/>
      <w:bookmarkEnd w:id="33"/>
      <w:bookmarkEnd w:id="34"/>
      <w:r>
        <w:rPr/>
        <w:t> </w:t>
      </w:r>
      <w:r>
        <w:br w:type="page"/>
      </w:r>
    </w:p>
    <w:p>
      <w:pPr>
        <w:pStyle w:val="TextBody"/>
        <w:bidi w:val="0"/>
        <w:jc w:val="right"/>
        <w:rPr>
          <w:rFonts w:ascii="Times New Roman;Times;Serif" w:hAnsi="Times New Roman;Times;Serif"/>
          <w:b/>
          <w:caps/>
          <w:sz w:val="20"/>
        </w:rPr>
      </w:pPr>
      <w:r>
        <w:rPr>
          <w:rFonts w:ascii="Times New Roman;Times;Serif" w:hAnsi="Times New Roman;Times;Serif"/>
          <w:b/>
          <w:caps/>
          <w:sz w:val="20"/>
        </w:rPr>
        <w:t>Exhibit 99.2</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color w:val="2B2A32"/>
          <w:sz w:val="20"/>
        </w:rPr>
      </w:pPr>
      <w:r>
        <w:rPr>
          <w:rFonts w:ascii="Times New Roman;Times;Serif" w:hAnsi="Times New Roman;Times;Serif"/>
          <w:b/>
          <w:i w:val="false"/>
          <w:caps w:val="false"/>
          <w:smallCaps w:val="false"/>
          <w:color w:val="2B2A32"/>
          <w:sz w:val="20"/>
        </w:rPr>
        <w:t>Centrus Announces Pricing of $500 Million Underwritten Public Offering of Class A Common Stock and Warrants</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2527"/>
          <w:sz w:val="20"/>
        </w:rPr>
      </w:pPr>
      <w:r>
        <w:rPr>
          <w:rFonts w:ascii="Times New Roman;Times;Serif" w:hAnsi="Times New Roman;Times;Serif"/>
          <w:b w:val="false"/>
          <w:i w:val="false"/>
          <w:caps w:val="false"/>
          <w:smallCaps w:val="false"/>
          <w:color w:val="232527"/>
          <w:sz w:val="20"/>
        </w:rPr>
        <w:t>9/9/2026</w:t>
      </w:r>
    </w:p>
    <w:p>
      <w:pPr>
        <w:pStyle w:val="TextBody"/>
        <w:bidi w:val="0"/>
        <w:spacing w:before="0" w:after="0"/>
        <w:ind w:left="0" w:right="0" w:hanging="0"/>
        <w:jc w:val="left"/>
        <w:rPr>
          <w:caps w:val="false"/>
          <w:smallCaps w:val="false"/>
          <w:color w:val="232527"/>
        </w:rPr>
      </w:pPr>
      <w:r>
        <w:rPr>
          <w:caps w:val="false"/>
          <w:smallCaps w:val="false"/>
          <w:color w:val="232527"/>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B2A32"/>
          <w:sz w:val="20"/>
        </w:rPr>
        <w:t xml:space="preserve">BETHESDA, Md.--(BUSINESS WIRE)—Centrus Energy Corp. (NYSE: LEU) (“Centrus” or the “Company”) today announced the pricing of its previously announced underwritten public offering of 500,000 shares of its Class A common stock (the “Class A Common Stock”), pre-funded warrants (the “Pre-Funded Warrants”) to purchase an aggregate of </w:t>
      </w:r>
      <w:r>
        <w:rPr>
          <w:rFonts w:ascii="Times New Roman;Times;Serif" w:hAnsi="Times New Roman;Times;Serif"/>
          <w:b w:val="false"/>
          <w:i w:val="false"/>
          <w:caps w:val="false"/>
          <w:smallCaps w:val="false"/>
          <w:color w:val="232527"/>
          <w:sz w:val="20"/>
        </w:rPr>
        <w:t xml:space="preserve">2,005,513 </w:t>
      </w:r>
      <w:r>
        <w:rPr>
          <w:rFonts w:ascii="Times New Roman;Times;Serif" w:hAnsi="Times New Roman;Times;Serif"/>
          <w:b w:val="false"/>
          <w:i w:val="false"/>
          <w:caps w:val="false"/>
          <w:smallCaps w:val="false"/>
          <w:color w:val="2B2A32"/>
          <w:sz w:val="20"/>
        </w:rPr>
        <w:t xml:space="preserve">shares of Class A Common Stock and common warrants (the “Common Warrants”) to purchase up to an aggregate of 6,992,382 shares of Class A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B2A32"/>
          <w:sz w:val="20"/>
        </w:rPr>
        <w:t>The offering is priced at a combined public offering price of $</w:t>
      </w:r>
      <w:r>
        <w:rPr>
          <w:rFonts w:ascii="Times New Roman;Times;Serif" w:hAnsi="Times New Roman;Times;Serif"/>
          <w:b w:val="false"/>
          <w:i w:val="false"/>
          <w:caps w:val="false"/>
          <w:smallCaps w:val="false"/>
          <w:color w:val="232527"/>
          <w:sz w:val="20"/>
        </w:rPr>
        <w:t xml:space="preserve">199.64 </w:t>
      </w:r>
      <w:r>
        <w:rPr>
          <w:rFonts w:ascii="Times New Roman;Times;Serif" w:hAnsi="Times New Roman;Times;Serif"/>
          <w:b w:val="false"/>
          <w:i w:val="false"/>
          <w:caps w:val="false"/>
          <w:smallCaps w:val="false"/>
          <w:color w:val="2B2A32"/>
          <w:sz w:val="20"/>
        </w:rPr>
        <w:t xml:space="preserve">per share of </w:t>
      </w:r>
      <w:r>
        <w:rPr>
          <w:rFonts w:ascii="Times New Roman;Times;Serif" w:hAnsi="Times New Roman;Times;Serif"/>
          <w:b w:val="false"/>
          <w:i w:val="false"/>
          <w:caps w:val="false"/>
          <w:smallCaps w:val="false"/>
          <w:color w:val="232527"/>
          <w:sz w:val="20"/>
        </w:rPr>
        <w:t>Class A Common Stock and accompanying Common Warrants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A32"/>
          <w:sz w:val="20"/>
        </w:rPr>
        <w:t>and $</w:t>
      </w:r>
      <w:r>
        <w:rPr>
          <w:rFonts w:ascii="Times New Roman;Times;Serif" w:hAnsi="Times New Roman;Times;Serif"/>
          <w:b w:val="false"/>
          <w:i w:val="false"/>
          <w:caps w:val="false"/>
          <w:smallCaps w:val="false"/>
          <w:color w:val="232527"/>
          <w:sz w:val="20"/>
        </w:rPr>
        <w:t xml:space="preserve">199.54 </w:t>
      </w:r>
      <w:r>
        <w:rPr>
          <w:rFonts w:ascii="Times New Roman;Times;Serif" w:hAnsi="Times New Roman;Times;Serif"/>
          <w:b w:val="false"/>
          <w:i w:val="false"/>
          <w:caps w:val="false"/>
          <w:smallCaps w:val="false"/>
          <w:color w:val="2B2A32"/>
          <w:sz w:val="20"/>
        </w:rPr>
        <w:t xml:space="preserve">per Pre-Funded Warrant and accompanying Common Warrants. The purchase price of each Pre-Funded Warrant is equal to the price per share at which shares of Class A Common Stock are being sold in the offering, minus the exercise price for the Pre-Funded Warrants of $0.10 per share. Investors purchasing shares of Class A Common Stock or Pre-Funded Warrants will also receive a pro rata allocation of Common Warrants based on the number of shares of Class A Common Stock or Pre-Funded Warrants purchased by that investor. The closing of the offering is expected to occur on or about </w:t>
      </w:r>
      <w:r>
        <w:rPr>
          <w:rFonts w:ascii="Times New Roman;Times;Serif" w:hAnsi="Times New Roman;Times;Serif"/>
          <w:b w:val="false"/>
          <w:i w:val="false"/>
          <w:caps w:val="false"/>
          <w:smallCaps w:val="false"/>
          <w:color w:val="232527"/>
          <w:sz w:val="20"/>
        </w:rPr>
        <w:t>September 11</w:t>
      </w:r>
      <w:r>
        <w:rPr>
          <w:rFonts w:ascii="Times New Roman;Times;Serif" w:hAnsi="Times New Roman;Times;Serif"/>
          <w:b w:val="false"/>
          <w:i w:val="false"/>
          <w:caps w:val="false"/>
          <w:smallCaps w:val="false"/>
          <w:color w:val="2B2A32"/>
          <w:sz w:val="20"/>
        </w:rPr>
        <w:t>, 2026, subject to the satisfaction of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B2A32"/>
          <w:sz w:val="20"/>
        </w:rPr>
        <w:t xml:space="preserve">The Pre-Funded Warrants will be immediately exercisable upon issuance for an aggregate of </w:t>
      </w:r>
      <w:r>
        <w:rPr>
          <w:rFonts w:ascii="Times New Roman;Times;Serif" w:hAnsi="Times New Roman;Times;Serif"/>
          <w:b w:val="false"/>
          <w:i w:val="false"/>
          <w:caps w:val="false"/>
          <w:smallCaps w:val="false"/>
          <w:color w:val="232527"/>
          <w:sz w:val="20"/>
        </w:rPr>
        <w:t xml:space="preserve">2,005,513 </w:t>
      </w:r>
      <w:r>
        <w:rPr>
          <w:rFonts w:ascii="Times New Roman;Times;Serif" w:hAnsi="Times New Roman;Times;Serif"/>
          <w:b w:val="false"/>
          <w:i w:val="false"/>
          <w:caps w:val="false"/>
          <w:smallCaps w:val="false"/>
          <w:color w:val="2B2A32"/>
          <w:sz w:val="20"/>
        </w:rPr>
        <w:t>shares of Class A Common Stock at a nominal exercise price of $0.10 per share. The Common Warrants will be immediately exercisable from the date of issuance for an aggregate of 6,992,382 shares of Class A Common Stock. The Common Warrants will be issued in four series, each with an aggregate exercise price of approximately $500 million. The exercise price for each series will equal $226.8625, $272.2350, $317.6075, and $362.9800 per share of the Class A Common Stock, respectively. Each series will be divided into two equal tranches. The first tranche will expire on the second, third, fourth or fifth anniversary of September 10, 2026, as applicable, and the second tranche will expire on the date that is nine weeks after each such anniversary.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B2A32"/>
          <w:sz w:val="20"/>
        </w:rPr>
        <w:t>The gross proceeds from the offering are expected to be approximately $</w:t>
      </w:r>
      <w:r>
        <w:rPr>
          <w:rFonts w:ascii="Times New Roman;Times;Serif" w:hAnsi="Times New Roman;Times;Serif"/>
          <w:b w:val="false"/>
          <w:i w:val="false"/>
          <w:caps w:val="false"/>
          <w:smallCaps w:val="false"/>
          <w:color w:val="232527"/>
          <w:sz w:val="20"/>
        </w:rPr>
        <w:t xml:space="preserve">500 </w:t>
      </w:r>
      <w:r>
        <w:rPr>
          <w:rFonts w:ascii="Times New Roman;Times;Serif" w:hAnsi="Times New Roman;Times;Serif"/>
          <w:b w:val="false"/>
          <w:i w:val="false"/>
          <w:caps w:val="false"/>
          <w:smallCaps w:val="false"/>
          <w:color w:val="2B2A32"/>
          <w:sz w:val="20"/>
        </w:rPr>
        <w:t>million, before deducting the underwriting discount and other estimated offering expenses payable by Centrus. The gross proceeds from the offering do not include any proceeds that may be received upon exercise of the Common Warrants. The Company intends to use the net proceeds from the offering for general working capital and corporate purposes, which may include investment in technology development and deployment, repayment or repurchase of outstanding debt, capital expenditures, potential acquisitions and other business opportunities and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B2A32"/>
          <w:sz w:val="20"/>
        </w:rPr>
      </w:pPr>
      <w:r>
        <w:rPr>
          <w:rFonts w:ascii="Times New Roman;Times;Serif" w:hAnsi="Times New Roman;Times;Serif"/>
          <w:b w:val="false"/>
          <w:i w:val="false"/>
          <w:caps w:val="false"/>
          <w:smallCaps w:val="false"/>
          <w:color w:val="2B2A32"/>
          <w:sz w:val="20"/>
        </w:rPr>
        <w:t>Guggenheim Securities is acting as lead book-running manager and Barclays is acting as a book-running manager for the offering.</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B2A32"/>
          <w:sz w:val="20"/>
        </w:rPr>
        <w:t>A registration statement relating to these securities was filed with the Securities and Exchange Commission (“SEC”) on November 6, 2025 and became automatically effective upon filing. Any offer, solicitation or sale will be made only by means of the prospectus supplement and the accompanying prospectus. Current and potential investors should read the registration statement, the prospectus supplement and the accompanying prospectus, including the risk factors described therein and in the documents incorporated by reference therein, and the other documents that Centrus has filed with the SEC for more complete information about Centrus and the offering, which may be obtained free of charge at the website maintained by the SEC at www.sec.gov. Copies of the prospectus supplement and the accompanying prospectus, when available, may be obtained free of charge from Guggenheim Securities, LLC</w:t>
      </w:r>
      <w:r>
        <w:rPr>
          <w:rFonts w:ascii="Times New Roman;Times;Serif" w:hAnsi="Times New Roman;Times;Serif"/>
          <w:b w:val="false"/>
          <w:i w:val="false"/>
          <w:caps w:val="false"/>
          <w:smallCaps w:val="false"/>
          <w:color w:val="232527"/>
          <w:sz w:val="20"/>
        </w:rPr>
        <w:t>, Attention: Equity Syndicate Department, 330 Madison Avenue, 8th Floor, New York, NY 10017, by telephone at (212) 518-9544, or by email at GSEquityProspectusDelivery@guggenheimpartners.com; and Barclays Capital Inc., c/o Broadridge Financial Solutions, 1155 Long Island Avenue, Edgewood, NY 11717 (or by email at barclaysprospectus@broadridge.com or telephone at 1-888-603-5847).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B2A32"/>
          <w:sz w:val="20"/>
        </w:rPr>
      </w:pPr>
      <w:r>
        <w:rPr>
          <w:rFonts w:ascii="Times New Roman;Times;Serif" w:hAnsi="Times New Roman;Times;Serif"/>
          <w:b w:val="false"/>
          <w:i w:val="false"/>
          <w:caps w:val="false"/>
          <w:smallCaps w:val="false"/>
          <w:color w:val="2B2A32"/>
          <w:sz w:val="20"/>
        </w:rPr>
        <w:t>This press release does not constitute an offer to sell or a solicitation of an offer to buy any securities, nor shall there be any offer or sale of securities in any state or jurisdiction in which the offer, solicitation, or sale would be unlawful prior to the registration or qualification thereof under the securities laws of any such state or jurisdiction.</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i w:val="false"/>
          <w:caps w:val="false"/>
          <w:smallCaps w:val="false"/>
          <w:color w:val="2B2A32"/>
          <w:sz w:val="20"/>
        </w:rPr>
      </w:pPr>
      <w:r>
        <w:rPr>
          <w:rFonts w:ascii="Times New Roman;Times;Serif" w:hAnsi="Times New Roman;Times;Serif"/>
          <w:b/>
          <w:i w:val="false"/>
          <w:caps w:val="false"/>
          <w:smallCaps w:val="false"/>
          <w:color w:val="2B2A32"/>
          <w:sz w:val="20"/>
        </w:rPr>
        <w:t>About Centrus Energy Corp.</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B2A32"/>
          <w:sz w:val="20"/>
        </w:rPr>
      </w:pPr>
      <w:r>
        <w:rPr>
          <w:rFonts w:ascii="Times New Roman;Times;Serif" w:hAnsi="Times New Roman;Times;Serif"/>
          <w:b w:val="false"/>
          <w:i w:val="false"/>
          <w:caps w:val="false"/>
          <w:smallCaps w:val="false"/>
          <w:color w:val="2B2A32"/>
          <w:sz w:val="20"/>
        </w:rPr>
        <w:t>Centrus Energy is a trusted American supplier of nuclear fuel and services for the nuclear power industry, helping meet the growing need for clean, affordable, carbon-free energy. Since 1998, the Company has provided its utility customers with more than 1,850 reactor years of fuel, which is equivalent to more than 7 billion tons of coal.</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B2A32"/>
          <w:sz w:val="20"/>
        </w:rPr>
      </w:pPr>
      <w:r>
        <w:rPr>
          <w:rFonts w:ascii="Times New Roman;Times;Serif" w:hAnsi="Times New Roman;Times;Serif"/>
          <w:b w:val="false"/>
          <w:i w:val="false"/>
          <w:caps w:val="false"/>
          <w:smallCaps w:val="false"/>
          <w:color w:val="2B2A32"/>
          <w:sz w:val="20"/>
        </w:rPr>
        <w:t>With world-class technical and engineering capabilities, Centrus is pioneering production of High-Assay, Low-Enriched Uranium and is leading the effort to restore America’s uranium enrichment capabilities at scale so that Centrus can meet America’s clean energy, energy security, and national security needs.</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i w:val="false"/>
          <w:caps w:val="false"/>
          <w:smallCaps w:val="false"/>
          <w:color w:val="2B2A32"/>
          <w:sz w:val="20"/>
        </w:rPr>
      </w:pPr>
      <w:r>
        <w:rPr>
          <w:rFonts w:ascii="Times New Roman;Times;Serif" w:hAnsi="Times New Roman;Times;Serif"/>
          <w:b/>
          <w:i w:val="false"/>
          <w:caps w:val="false"/>
          <w:smallCaps w:val="false"/>
          <w:color w:val="2B2A32"/>
          <w:sz w:val="20"/>
        </w:rPr>
        <w:t>Forward-Looking Statements</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B2A32"/>
          <w:sz w:val="20"/>
        </w:rPr>
      </w:pPr>
      <w:r>
        <w:rPr>
          <w:rFonts w:ascii="Times New Roman;Times;Serif" w:hAnsi="Times New Roman;Times;Serif"/>
          <w:b w:val="false"/>
          <w:i w:val="false"/>
          <w:caps w:val="false"/>
          <w:smallCaps w:val="false"/>
          <w:color w:val="2B2A32"/>
          <w:sz w:val="20"/>
        </w:rPr>
        <w:t>This press release includes “forward-looking statements” within the meaning of Section 21E of the Securities Exchange Act of 1934, as amended, and the Private Securities Litigation Reform Act of 1995, which in this context means statements that express Centrus’ opinions, expectations, objectives, beliefs, plans, intentions, strategies, assumptions, forecasts or projections regarding future events or future results and therefore are, or may be deemed to be, “forward-looking statements.” The words “may,” “will,” “could,” “should,” “expects,” “anticipates,” “intends,” “plans,” “believes,” “seeks,” “estimates,” “continue,” “might,” “possible,” “potential,” “predict,” “project,” “goal,” “would,” “commit,” or, in each case, their negative or other variations or comparable terminology, and similar expressions may identify forward-looking statements, but the absence of these words does not mean that a statement is not forward-looking. These forward-looking statements include all matters that are not historical facts. They appear in a number of places throughout this press release and include statements regarding Centrus’ intentions, beliefs or current expectations concerning, among other things, the completion of the offering on the anticipated timeline or at all, the anticipated use of proceeds from the offering, results of operations, financial condition, liquidity, prospects, growth, strategies and the markets in which Centrus operates. Such forward-looking statements are based on information available as of the date of this press release, and current expectations, forecasts and assumptions, and involve a number of judgments, risks, and uncertainties.</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B2A32"/>
          <w:sz w:val="20"/>
        </w:rPr>
      </w:pPr>
      <w:r>
        <w:rPr>
          <w:rFonts w:ascii="Times New Roman;Times;Serif" w:hAnsi="Times New Roman;Times;Serif"/>
          <w:b w:val="false"/>
          <w:i w:val="false"/>
          <w:caps w:val="false"/>
          <w:smallCaps w:val="false"/>
          <w:color w:val="2B2A32"/>
          <w:sz w:val="20"/>
        </w:rPr>
        <w:t>Particular factors that involve uncertainty and could cause Centrus’ actual future results to differ materially from those expressed in its forward-looking statements and which are, and may be, exacerbated by any worsening of the global business and economic environment include but are not limited to the following: its ability to conclude negotiations with its customers; the war in Ukraine and other geopolitical conflicts; its government contracts, including related to changes to the U.S. government’s appropriated funding levels for HALEU, the government’s inability to satisfy its obligations, and its lease to its facility in Piketon, Ohio; whether or when government demand for HALEU or LEU for government or commercial uses will materialize and at what level; the impact and potential extended duration of a supply/demand imbalance in the market for LEU; significant competition from major LEU producers, including foreign competitors, that may be less cost sensitive than Centrus; limitations on its ability to compete in foreign markets; pricing trends and demand in the uranium and enrichment markets, especially in light of the potential of limited supply and its dependence on others for deliveries of LEU; and its ability to successfully implement its planned expansion projects in Piketon, Ohio and Oak Ridge, Tennessee.</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B2A32"/>
          <w:sz w:val="20"/>
        </w:rPr>
      </w:pPr>
      <w:r>
        <w:rPr>
          <w:rFonts w:ascii="Times New Roman;Times;Serif" w:hAnsi="Times New Roman;Times;Serif"/>
          <w:b w:val="false"/>
          <w:i w:val="false"/>
          <w:caps w:val="false"/>
          <w:smallCaps w:val="false"/>
          <w:color w:val="2B2A32"/>
          <w:sz w:val="20"/>
        </w:rPr>
        <w:t>Readers are cautioned not to place undue reliance on these forward-looking statements, which apply only as of the date of this press release. These factors may not constitute all factors that could cause actual results to differ from those discussed in any forward-looking statement. Accordingly, forward-looking statements should not be relied upon as a predictor of actual results. Readers are urged to carefully review and consider the various disclosures made in this press release and in Centrus’ filings with the SEC, including under Part I, Item 1A – “Risk Factors” in its most recent Annual Report on Form 10-K, under Part II, Item 1A – “Risk Factors” in its subsequent Quarterly Reports on Form 10-Q, and in its other filings with the SEC that attempt to advise interested parties of the risks and factors that may affect its business. Centrus does not undertake to update its forward-looking statements to reflect events or circumstances that may arise after the date of this press release, except as required by law.</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i w:val="false"/>
          <w:caps w:val="false"/>
          <w:smallCaps w:val="false"/>
          <w:color w:val="2B2A32"/>
          <w:sz w:val="20"/>
        </w:rPr>
      </w:pPr>
      <w:r>
        <w:rPr>
          <w:rFonts w:ascii="Times New Roman;Times;Serif" w:hAnsi="Times New Roman;Times;Serif"/>
          <w:b/>
          <w:i w:val="false"/>
          <w:caps w:val="false"/>
          <w:smallCaps w:val="false"/>
          <w:color w:val="2B2A32"/>
          <w:sz w:val="20"/>
        </w:rPr>
        <w:t>Contacts:</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B2A32"/>
          <w:sz w:val="20"/>
        </w:rPr>
      </w:pPr>
      <w:r>
        <w:rPr>
          <w:rFonts w:ascii="Times New Roman;Times;Serif" w:hAnsi="Times New Roman;Times;Serif"/>
          <w:b w:val="false"/>
          <w:i w:val="false"/>
          <w:caps w:val="false"/>
          <w:smallCaps w:val="false"/>
          <w:color w:val="2B2A32"/>
          <w:sz w:val="20"/>
        </w:rPr>
        <w:t>Media — Dan Leistikow</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B2A32"/>
          <w:sz w:val="20"/>
        </w:rPr>
      </w:pPr>
      <w:r>
        <w:rPr>
          <w:rFonts w:ascii="Times New Roman;Times;Serif" w:hAnsi="Times New Roman;Times;Serif"/>
          <w:b w:val="false"/>
          <w:i w:val="false"/>
          <w:caps w:val="false"/>
          <w:smallCaps w:val="false"/>
          <w:color w:val="2B2A32"/>
          <w:sz w:val="20"/>
        </w:rPr>
        <w:t>LeistikowD@centrusenergy.com</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B2A32"/>
          <w:sz w:val="20"/>
        </w:rPr>
      </w:pPr>
      <w:r>
        <w:rPr>
          <w:rFonts w:ascii="Times New Roman;Times;Serif" w:hAnsi="Times New Roman;Times;Serif"/>
          <w:b w:val="false"/>
          <w:i w:val="false"/>
          <w:caps w:val="false"/>
          <w:smallCaps w:val="false"/>
          <w:color w:val="2B2A32"/>
          <w:sz w:val="20"/>
        </w:rPr>
        <w:t>Investors — Neal Nagarajan</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B2A32"/>
          <w:sz w:val="20"/>
        </w:rPr>
      </w:pPr>
      <w:r>
        <w:rPr>
          <w:rFonts w:ascii="Times New Roman;Times;Serif" w:hAnsi="Times New Roman;Times;Serif"/>
          <w:b w:val="false"/>
          <w:i w:val="false"/>
          <w:caps w:val="false"/>
          <w:smallCaps w:val="false"/>
          <w:color w:val="2B2A32"/>
          <w:sz w:val="20"/>
        </w:rPr>
        <w:t>NagarajanNK@centrusenergy.com</w:t>
      </w:r>
    </w:p>
    <w:p>
      <w:pPr>
        <w:pStyle w:val="TextBody"/>
        <w:bidi w:val="0"/>
        <w:spacing w:before="0" w:after="0"/>
        <w:ind w:left="0" w:right="0" w:hanging="0"/>
        <w:jc w:val="left"/>
        <w:rPr>
          <w:caps w:val="false"/>
          <w:smallCaps w:val="false"/>
          <w:color w:val="2B2A32"/>
        </w:rPr>
      </w:pPr>
      <w:r>
        <w:rPr>
          <w:caps w:val="false"/>
          <w:smallCaps w:val="false"/>
          <w:color w:val="2B2A32"/>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color w:val="2B2A32"/>
        </w:rPr>
      </w:pPr>
      <w:r>
        <w:rPr>
          <w:caps w:val="false"/>
          <w:smallCaps w:val="false"/>
          <w:color w:val="2B2A32"/>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60531</Words>
  <Characters>317821</Characters>
  <CharactersWithSpaces>379595</CharactersWithSpaces>
  <Paragraphs>2043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