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C0C0C0"/>
          <w:sz w:val="22"/>
        </w:rPr>
      </w:pPr>
      <w:r>
        <w:rPr>
          <w:rFonts w:ascii="Times New Roman;serif" w:hAnsi="Times New Roman;serif"/>
          <w:b w:val="false"/>
          <w:color w:val="C0C0C0"/>
          <w:sz w:val="22"/>
        </w:rPr>
        <w:t>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 August 15, 2026</w: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40"/>
        </w:rPr>
      </w:pPr>
      <w:r>
        <w:rPr>
          <w:rFonts w:ascii="Times New Roman;serif" w:hAnsi="Times New Roman;serif"/>
          <w:b/>
          <w:color w:val="000000"/>
          <w:sz w:val="40"/>
        </w:rPr>
        <w:t>Centrus Energy Corp.</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tbl>
      <w:tblPr>
        <w:tblW w:w="9073" w:type="dxa"/>
        <w:jc w:val="center"/>
        <w:tblInd w:w="0" w:type="dxa"/>
        <w:tblLayout w:type="fixed"/>
        <w:tblCellMar>
          <w:top w:w="28" w:type="dxa"/>
          <w:left w:w="28" w:type="dxa"/>
          <w:bottom w:w="28" w:type="dxa"/>
          <w:right w:w="28" w:type="dxa"/>
        </w:tblCellMar>
      </w:tblPr>
      <w:tblGrid>
        <w:gridCol w:w="1366"/>
        <w:gridCol w:w="1200"/>
        <w:gridCol w:w="1214"/>
        <w:gridCol w:w="757"/>
        <w:gridCol w:w="757"/>
        <w:gridCol w:w="765"/>
        <w:gridCol w:w="881"/>
        <w:gridCol w:w="881"/>
        <w:gridCol w:w="1252"/>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1-14287</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52-2107911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6901 Rockledge Drive, Suite 800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Bethesda, MD 20817</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Registrant's telephone number, including area code: (301) 564-3200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9464" w:type="dxa"/>
        <w:jc w:val="left"/>
        <w:tblInd w:w="0" w:type="dxa"/>
        <w:tblLayout w:type="fixed"/>
        <w:tblCellMar>
          <w:top w:w="28" w:type="dxa"/>
          <w:left w:w="28" w:type="dxa"/>
          <w:bottom w:w="28" w:type="dxa"/>
          <w:right w:w="28" w:type="dxa"/>
        </w:tblCellMar>
      </w:tblPr>
      <w:tblGrid>
        <w:gridCol w:w="1502"/>
        <w:gridCol w:w="1323"/>
        <w:gridCol w:w="1330"/>
        <w:gridCol w:w="474"/>
        <w:gridCol w:w="474"/>
        <w:gridCol w:w="476"/>
        <w:gridCol w:w="1138"/>
        <w:gridCol w:w="1138"/>
        <w:gridCol w:w="160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Class A Common Stock, par value $0.10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LEU</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NYSE</w:t>
            </w:r>
          </w:p>
        </w:tc>
      </w:tr>
    </w:tbl>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August 15, 2026, the Compensation, Nominating &amp; Governance Committee of the Board of Directors (the “Committee”) of Centrus Energy Corp. (the “Company”) approved a special one-time grant of performance based restricted stock units (the “Performance RSUs”) to the Company’s executive officers, as well as to certain senior leaders at the Company. The Performance RSUs were granted under a Supplemental Executive Incentive Plan (“2026 Plan”) adopted by the Committee, which such plan was adopted under and subject to the terms of the Company’s 2014 Equity Incentive Plan, as amended and restated from time to time. The 2026 Plan was adopted by the Committee to establish a framework for the granting of additional incentive awards to further motivate executives and other senior leaders of the Company to make extraordinary efforts to achieve goals that are important to the Company.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Performance RSUs will vest, if at all, upon the Company’s achievements of certain performance-based milestones (which must be achieved prior to a specified outside date), as follows: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With respect to Performance RSUs granted to Amir V. Vexler, the Company’s President and Chief Executive Officer, 100% of such Performance RSUs vest upon the achievement of enrichment from a first cascade (the “Final Milestone”);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With respect to Performance RSUs granted to all other recipients, (i) 30% of such Performance RSUs vest upon completion and receipt of the first cascade at the Company’s production facility in Piketon, Ohio and (ii) the remaining 70% vest upon achievement of the Final Milestone; in each case, on the condition that actual related costs fall within a set range.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recipient’s employment with the Company terminates prior to the vesting of the Performance RSUs for any reason, then the award will be forfeited.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number of Performance RSUs awarded will be determined based upon the fair market value of the Company’s common stock on the date of grant. The value of the Performance RSUs granted to the Company’s named executive officers based on full achievement of the performance conditions are as follows:</w:t>
      </w:r>
    </w:p>
    <w:p>
      <w:pPr>
        <w:pStyle w:val="TextBody"/>
        <w:bidi w:val="0"/>
        <w:spacing w:before="0" w:after="0"/>
        <w:ind w:left="0" w:right="0" w:firstLine="720"/>
        <w:jc w:val="both"/>
        <w:rPr/>
      </w:pPr>
      <w:r>
        <w:rPr/>
      </w:r>
    </w:p>
    <w:tbl>
      <w:tblPr>
        <w:tblW w:w="3300" w:type="dxa"/>
        <w:jc w:val="left"/>
        <w:tblInd w:w="0" w:type="dxa"/>
        <w:tblLayout w:type="fixed"/>
        <w:tblCellMar>
          <w:top w:w="28" w:type="dxa"/>
          <w:left w:w="28" w:type="dxa"/>
          <w:bottom w:w="28" w:type="dxa"/>
          <w:right w:w="28" w:type="dxa"/>
        </w:tblCellMar>
      </w:tblPr>
      <w:tblGrid>
        <w:gridCol w:w="748"/>
        <w:gridCol w:w="657"/>
        <w:gridCol w:w="664"/>
        <w:gridCol w:w="360"/>
        <w:gridCol w:w="360"/>
        <w:gridCol w:w="511"/>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1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Value</w:t>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Patrick S. Brown</w:t>
            </w:r>
          </w:p>
        </w:tc>
        <w:tc>
          <w:tcPr>
            <w:tcW w:w="1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$2,000,000</w:t>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John M.A. Donelson</w:t>
            </w:r>
          </w:p>
        </w:tc>
        <w:tc>
          <w:tcPr>
            <w:tcW w:w="1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$2,000,000</w:t>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Neal K. Nagarajan</w:t>
            </w:r>
          </w:p>
        </w:tc>
        <w:tc>
          <w:tcPr>
            <w:tcW w:w="1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$1,300,000</w:t>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Todd M. Tinelli</w:t>
            </w:r>
          </w:p>
        </w:tc>
        <w:tc>
          <w:tcPr>
            <w:tcW w:w="1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$2,000,000</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Amir V. Vexler</w:t>
            </w:r>
          </w:p>
        </w:tc>
        <w:tc>
          <w:tcPr>
            <w:tcW w:w="12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$5,000,000</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above summary of these Performance RSUs is qualified in its entirety by the terms of the 2026 Plan and the award agreements, which will be filed as exhibits to the Company’s Form 10-Q for the fiscal quarter ending September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8174" w:type="dxa"/>
        <w:jc w:val="left"/>
        <w:tblInd w:w="0" w:type="dxa"/>
        <w:tblLayout w:type="fixed"/>
        <w:tblCellMar>
          <w:top w:w="28" w:type="dxa"/>
          <w:left w:w="28" w:type="dxa"/>
          <w:bottom w:w="28" w:type="dxa"/>
          <w:right w:w="28" w:type="dxa"/>
        </w:tblCellMar>
      </w:tblPr>
      <w:tblGrid>
        <w:gridCol w:w="423"/>
        <w:gridCol w:w="372"/>
        <w:gridCol w:w="375"/>
        <w:gridCol w:w="2049"/>
        <w:gridCol w:w="2049"/>
        <w:gridCol w:w="2906"/>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Exhibit No.</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1"/>
                <w:u w:val="single"/>
              </w:rPr>
            </w:pPr>
            <w:r>
              <w:rPr>
                <w:rFonts w:ascii="Times New Roman;serif" w:hAnsi="Times New Roman;serif"/>
                <w:b/>
                <w:color w:val="000000"/>
                <w:sz w:val="21"/>
                <w:u w:val="single"/>
              </w:rPr>
              <w:t>Description</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104</w:t>
            </w:r>
          </w:p>
        </w:tc>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1"/>
              </w:rPr>
            </w:pPr>
            <w:r>
              <w:rPr>
                <w:rFonts w:ascii="Times New Roman;serif" w:hAnsi="Times New Roman;serif"/>
                <w:b w:val="false"/>
                <w:color w:val="000000"/>
                <w:sz w:val="21"/>
              </w:rPr>
              <w:t>Cover Page Interactive Data File (embedded within the Inline XBRL Document)</w:t>
            </w:r>
          </w:p>
        </w:tc>
      </w:tr>
    </w:tbl>
    <w:p>
      <w:pPr>
        <w:pStyle w:val="TextBody"/>
        <w:bidi w:val="0"/>
        <w:spacing w:before="0" w:after="16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SIGNATURE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563" w:type="dxa"/>
        <w:jc w:val="center"/>
        <w:tblInd w:w="0" w:type="dxa"/>
        <w:tblLayout w:type="fixed"/>
        <w:tblCellMar>
          <w:top w:w="28" w:type="dxa"/>
          <w:left w:w="28" w:type="dxa"/>
          <w:bottom w:w="28" w:type="dxa"/>
          <w:right w:w="28" w:type="dxa"/>
        </w:tblCellMar>
      </w:tblPr>
      <w:tblGrid>
        <w:gridCol w:w="222"/>
        <w:gridCol w:w="196"/>
        <w:gridCol w:w="197"/>
        <w:gridCol w:w="559"/>
        <w:gridCol w:w="559"/>
        <w:gridCol w:w="561"/>
        <w:gridCol w:w="144"/>
        <w:gridCol w:w="144"/>
        <w:gridCol w:w="146"/>
        <w:gridCol w:w="1708"/>
        <w:gridCol w:w="1708"/>
        <w:gridCol w:w="24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Centrus Energy Corp.</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18,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Todd M. Tinelli</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Senior Vice President, Chief Financial Officer, and Treasurer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4276</Characters>
  <CharactersWithSpaces>4992</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