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tm2625019d4_fwp.htm"/>
      <w:bookmarkStart w:id="1" w:name="kstm2625019d4_fwp"/>
      <w:bookmarkEnd w:id="0"/>
      <w:bookmarkEnd w:id="1"/>
      <w:r>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pursuant to Rule 433</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No. 333-291305</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Free Writing Prospectus dated September 9, 2026</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Relating to Preliminary Prospectus Supplement dated September 9, 2026</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Centrus Energy Corp.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500,000 Shares of Class A Common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Pre-Funded Warrants to Purchase up to 2,005,513 Shares of Class A Common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Warrants to Purchase up to 6,992,382 Shares of Class A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information in this pricing term sheet supplements Centrus Energy Corp.’s preliminary prospectus supplement, dated September 9, 2026 (the “Preliminary Prospectus Supplement”), and supersedes the information in the Preliminary Prospectus Supplement to the extent inconsistent with the information in the Preliminary Prospectus Supplement. In all other respects, this pricing term sheet is qualified in its entirety by reference to the Preliminary Prospectus Supplement. Terms used herein but not defined herein shall have the respective meanings as set forth in the Preliminary Prospectus Supplement.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86"/>
        <w:gridCol w:w="8919"/>
      </w:tblGrid>
      <w:tr>
        <w:trPr/>
        <w:tc>
          <w:tcPr>
            <w:tcW w:w="1286" w:type="dxa"/>
            <w:tcBorders/>
            <w:vAlign w:val="center"/>
          </w:tcPr>
          <w:p>
            <w:pPr>
              <w:pStyle w:val="TableContents"/>
              <w:bidi w:val="0"/>
              <w:spacing w:before="0" w:after="283"/>
              <w:jc w:val="left"/>
              <w:rPr>
                <w:sz w:val="20"/>
              </w:rPr>
            </w:pPr>
            <w:r>
              <w:rPr>
                <w:sz w:val="20"/>
              </w:rPr>
              <w:t>Issuer:</w:t>
            </w:r>
          </w:p>
        </w:tc>
        <w:tc>
          <w:tcPr>
            <w:tcW w:w="891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Centrus Energy Corp.</w:t>
            </w:r>
          </w:p>
        </w:tc>
      </w:tr>
      <w:tr>
        <w:trPr/>
        <w:tc>
          <w:tcPr>
            <w:tcW w:w="1286" w:type="dxa"/>
            <w:tcBorders/>
            <w:vAlign w:val="center"/>
          </w:tcPr>
          <w:p>
            <w:pPr>
              <w:pStyle w:val="TableContents"/>
              <w:bidi w:val="0"/>
              <w:spacing w:before="0" w:after="283"/>
              <w:jc w:val="left"/>
              <w:rPr>
                <w:sz w:val="20"/>
              </w:rPr>
            </w:pPr>
            <w:r>
              <w:rPr>
                <w:sz w:val="20"/>
              </w:rPr>
              <w:t>Offering format:</w:t>
            </w:r>
          </w:p>
        </w:tc>
        <w:tc>
          <w:tcPr>
            <w:tcW w:w="891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SEC Registered</w:t>
            </w:r>
          </w:p>
        </w:tc>
      </w:tr>
      <w:tr>
        <w:trPr/>
        <w:tc>
          <w:tcPr>
            <w:tcW w:w="1286" w:type="dxa"/>
            <w:tcBorders/>
            <w:vAlign w:val="center"/>
          </w:tcPr>
          <w:p>
            <w:pPr>
              <w:pStyle w:val="TableContents"/>
              <w:bidi w:val="0"/>
              <w:spacing w:before="0" w:after="283"/>
              <w:jc w:val="left"/>
              <w:rPr>
                <w:sz w:val="20"/>
              </w:rPr>
            </w:pPr>
            <w:r>
              <w:rPr>
                <w:sz w:val="20"/>
              </w:rPr>
              <w:t>Ticker / Symbol:</w:t>
            </w:r>
          </w:p>
        </w:tc>
        <w:tc>
          <w:tcPr>
            <w:tcW w:w="891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LEU / NYSE </w:t>
            </w:r>
          </w:p>
        </w:tc>
      </w:tr>
      <w:tr>
        <w:trPr/>
        <w:tc>
          <w:tcPr>
            <w:tcW w:w="1286" w:type="dxa"/>
            <w:tcBorders/>
            <w:vAlign w:val="center"/>
          </w:tcPr>
          <w:p>
            <w:pPr>
              <w:pStyle w:val="TableContents"/>
              <w:bidi w:val="0"/>
              <w:spacing w:before="0" w:after="283"/>
              <w:jc w:val="left"/>
              <w:rPr>
                <w:sz w:val="20"/>
              </w:rPr>
            </w:pPr>
            <w:r>
              <w:rPr>
                <w:sz w:val="20"/>
              </w:rPr>
              <w:t>Total transaction size:</w:t>
            </w:r>
          </w:p>
        </w:tc>
        <w:tc>
          <w:tcPr>
            <w:tcW w:w="891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Approximately $500 million of aggregate offering price of the Issuer’s Class A common stock, par value $0.10 per share (“Class A Common Stock”), and/or pre-funded warrants (“Pre-Funded Warrants”) and approximately $500 million aggregate exercise price per series of common warrants (“Common Warrants”) (or approximately $2 billion aggregate exercise price for all series of Common Warrants).</w:t>
            </w:r>
          </w:p>
        </w:tc>
      </w:tr>
      <w:tr>
        <w:trPr/>
        <w:tc>
          <w:tcPr>
            <w:tcW w:w="1286" w:type="dxa"/>
            <w:tcBorders/>
            <w:vAlign w:val="center"/>
          </w:tcPr>
          <w:p>
            <w:pPr>
              <w:pStyle w:val="TableContents"/>
              <w:bidi w:val="0"/>
              <w:spacing w:before="0" w:after="283"/>
              <w:jc w:val="left"/>
              <w:rPr>
                <w:sz w:val="20"/>
              </w:rPr>
            </w:pPr>
            <w:r>
              <w:rPr>
                <w:sz w:val="20"/>
              </w:rPr>
              <w:t>Class A Common Stock offered by the Issuer:</w:t>
            </w:r>
          </w:p>
        </w:tc>
        <w:tc>
          <w:tcPr>
            <w:tcW w:w="891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500,000 shares of Class A Common Stock</w:t>
            </w:r>
          </w:p>
        </w:tc>
      </w:tr>
      <w:tr>
        <w:trPr/>
        <w:tc>
          <w:tcPr>
            <w:tcW w:w="128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Pre-Funded Warrants offered by the Issuer:</w:t>
            </w:r>
          </w:p>
          <w:p>
            <w:pPr>
              <w:pStyle w:val="TableContents"/>
              <w:bidi w:val="0"/>
              <w:spacing w:before="0" w:after="0"/>
              <w:ind w:left="0" w:right="0" w:hanging="0"/>
              <w:jc w:val="left"/>
              <w:rPr>
                <w:caps w:val="false"/>
                <w:smallCaps w:val="false"/>
              </w:rPr>
            </w:pPr>
            <w:r>
              <w:rPr>
                <w:caps w:val="false"/>
                <w:smallCaps w:val="false"/>
              </w:rPr>
              <w:t> </w:t>
            </w:r>
          </w:p>
        </w:tc>
        <w:tc>
          <w:tcPr>
            <w:tcW w:w="891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Pre-Funded Warrants to purchase up to 2,005,513 shares of Class A Common Stock. Each Pre-Funded Warrant will have a purchase price of $199.54 per share and will be immediately exercisable from the date of issuance at a nominal exercise price of $0.10 per share until the date that is the 25-year anniversary of the date of issuance.</w:t>
            </w:r>
          </w:p>
        </w:tc>
      </w:tr>
      <w:tr>
        <w:trPr/>
        <w:tc>
          <w:tcPr>
            <w:tcW w:w="1286" w:type="dxa"/>
            <w:tcBorders/>
            <w:vAlign w:val="center"/>
          </w:tcPr>
          <w:p>
            <w:pPr>
              <w:pStyle w:val="TableContents"/>
              <w:bidi w:val="0"/>
              <w:spacing w:before="0" w:after="283"/>
              <w:jc w:val="left"/>
              <w:rPr>
                <w:sz w:val="20"/>
              </w:rPr>
            </w:pPr>
            <w:r>
              <w:rPr>
                <w:sz w:val="20"/>
              </w:rPr>
              <w:t>Common Warrants offered by the Issuer:</w:t>
            </w:r>
          </w:p>
        </w:tc>
        <w:tc>
          <w:tcPr>
            <w:tcW w:w="891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Common Warrants will be issued in four series: Series A, Series B, Series C and Series D. Each series of Common Warrants will initially entitle the holder to purchase up to 2,203,978, 1,836,648, 1,574,270 and 1,377,486 shares of Class A Common Stock, respectively, with each series having an aggregate exercise price of approximately $500 million. The exercise price per share for each series will equal $226.8625, $272.2350, $317.6075 and $362.9800, respectively. Each series will expire in two equal tranches. The Common Warrants will be immediately exercisable from the date of issuance until the expiration date of the applicable tranche, as illustrated in the tables below.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970" w:type="dxa"/>
        <w:jc w:val="left"/>
        <w:tblInd w:w="-10" w:type="dxa"/>
        <w:tblLayout w:type="fixed"/>
        <w:tblCellMar>
          <w:top w:w="28" w:type="dxa"/>
          <w:left w:w="108" w:type="dxa"/>
          <w:bottom w:w="28" w:type="dxa"/>
          <w:right w:w="0" w:type="dxa"/>
        </w:tblCellMar>
      </w:tblPr>
      <w:tblGrid>
        <w:gridCol w:w="5315"/>
        <w:gridCol w:w="1655"/>
      </w:tblGrid>
      <w:tr>
        <w:trPr/>
        <w:tc>
          <w:tcPr>
            <w:tcW w:w="5315"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Warrant Series A</w:t>
            </w:r>
          </w:p>
        </w:tc>
        <w:tc>
          <w:tcPr>
            <w:tcW w:w="1655" w:type="dxa"/>
            <w:tcBorders>
              <w:top w:val="single" w:sz="8" w:space="0" w:color="000000"/>
              <w:bottom w:val="single" w:sz="8" w:space="0" w:color="000000"/>
              <w:right w:val="single" w:sz="8" w:space="0" w:color="000000"/>
            </w:tcBorders>
            <w:tcMar>
              <w:left w:w="0" w:type="dxa"/>
              <w:right w:w="108" w:type="dxa"/>
            </w:tcMar>
            <w:vAlign w:val="center"/>
          </w:tcPr>
          <w:p>
            <w:pPr>
              <w:pStyle w:val="TableContents"/>
              <w:bidi w:val="0"/>
              <w:spacing w:before="0" w:after="283"/>
              <w:jc w:val="left"/>
              <w:rPr/>
            </w:pPr>
            <w:r>
              <w:rPr/>
              <w:t> </w:t>
            </w:r>
          </w:p>
        </w:tc>
      </w:tr>
      <w:tr>
        <w:trPr/>
        <w:tc>
          <w:tcPr>
            <w:tcW w:w="5315"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Exercise Price:</w:t>
            </w:r>
          </w:p>
        </w:tc>
        <w:tc>
          <w:tcPr>
            <w:tcW w:w="165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$226.8625</w:t>
            </w:r>
          </w:p>
        </w:tc>
      </w:tr>
      <w:tr>
        <w:trPr/>
        <w:tc>
          <w:tcPr>
            <w:tcW w:w="5315"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Initial number of underlying shares of Class A Common Stock:</w:t>
            </w:r>
          </w:p>
        </w:tc>
        <w:tc>
          <w:tcPr>
            <w:tcW w:w="165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2,203,978</w:t>
            </w:r>
          </w:p>
        </w:tc>
      </w:tr>
      <w:tr>
        <w:trPr/>
        <w:tc>
          <w:tcPr>
            <w:tcW w:w="5315"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1655" w:type="dxa"/>
            <w:tcBorders>
              <w:right w:val="single" w:sz="8" w:space="0" w:color="000000"/>
            </w:tcBorders>
            <w:tcMar>
              <w:top w:w="0" w:type="dxa"/>
              <w:left w:w="0" w:type="dxa"/>
              <w:bottom w:w="0" w:type="dxa"/>
              <w:right w:w="108" w:type="dxa"/>
            </w:tcMar>
            <w:vAlign w:val="center"/>
          </w:tcPr>
          <w:p>
            <w:pPr>
              <w:pStyle w:val="TableContents"/>
              <w:bidi w:val="0"/>
              <w:spacing w:before="0" w:after="283"/>
              <w:jc w:val="left"/>
              <w:rPr/>
            </w:pPr>
            <w:r>
              <w:rPr/>
              <w:t> </w:t>
            </w:r>
          </w:p>
        </w:tc>
      </w:tr>
      <w:tr>
        <w:trPr/>
        <w:tc>
          <w:tcPr>
            <w:tcW w:w="5315"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Expiration:</w:t>
            </w:r>
          </w:p>
        </w:tc>
        <w:tc>
          <w:tcPr>
            <w:tcW w:w="165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5315" w:type="dxa"/>
            <w:tcBorders>
              <w:left w:val="single" w:sz="8" w:space="0" w:color="000000"/>
            </w:tcBorders>
            <w:tcMar>
              <w:top w:w="0" w:type="dxa"/>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Tranche 1</w:t>
            </w:r>
          </w:p>
        </w:tc>
        <w:tc>
          <w:tcPr>
            <w:tcW w:w="1655" w:type="dxa"/>
            <w:tcBorders>
              <w:right w:val="single" w:sz="8" w:space="0" w:color="000000"/>
            </w:tcBorders>
            <w:tcMar>
              <w:top w:w="0" w:type="dxa"/>
              <w:left w:w="0" w:type="dxa"/>
              <w:bottom w:w="0" w:type="dxa"/>
              <w:right w:w="10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10, 2028</w:t>
            </w:r>
          </w:p>
        </w:tc>
      </w:tr>
      <w:tr>
        <w:trPr/>
        <w:tc>
          <w:tcPr>
            <w:tcW w:w="5315"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Tranche 2</w:t>
            </w:r>
          </w:p>
        </w:tc>
        <w:tc>
          <w:tcPr>
            <w:tcW w:w="165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November 12, 2028</w:t>
            </w:r>
          </w:p>
        </w:tc>
      </w:tr>
      <w:tr>
        <w:trPr/>
        <w:tc>
          <w:tcPr>
            <w:tcW w:w="5315"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1655" w:type="dxa"/>
            <w:tcBorders>
              <w:right w:val="single" w:sz="8" w:space="0" w:color="000000"/>
            </w:tcBorders>
            <w:tcMar>
              <w:top w:w="0" w:type="dxa"/>
              <w:left w:w="0" w:type="dxa"/>
              <w:bottom w:w="0" w:type="dxa"/>
              <w:right w:w="108" w:type="dxa"/>
            </w:tcMar>
            <w:vAlign w:val="center"/>
          </w:tcPr>
          <w:p>
            <w:pPr>
              <w:pStyle w:val="TableContents"/>
              <w:bidi w:val="0"/>
              <w:spacing w:before="0" w:after="283"/>
              <w:jc w:val="left"/>
              <w:rPr/>
            </w:pPr>
            <w:r>
              <w:rPr/>
              <w:t> </w:t>
            </w:r>
          </w:p>
        </w:tc>
      </w:tr>
      <w:tr>
        <w:trPr/>
        <w:tc>
          <w:tcPr>
            <w:tcW w:w="5315"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Warrant Series B</w:t>
            </w:r>
          </w:p>
        </w:tc>
        <w:tc>
          <w:tcPr>
            <w:tcW w:w="1655" w:type="dxa"/>
            <w:tcBorders>
              <w:top w:val="single" w:sz="8" w:space="0" w:color="000000"/>
              <w:bottom w:val="single" w:sz="8" w:space="0" w:color="000000"/>
              <w:right w:val="single" w:sz="8" w:space="0" w:color="000000"/>
            </w:tcBorders>
            <w:tcMar>
              <w:left w:w="0" w:type="dxa"/>
              <w:right w:w="108" w:type="dxa"/>
            </w:tcMar>
            <w:vAlign w:val="center"/>
          </w:tcPr>
          <w:p>
            <w:pPr>
              <w:pStyle w:val="TableContents"/>
              <w:bidi w:val="0"/>
              <w:spacing w:before="0" w:after="283"/>
              <w:jc w:val="left"/>
              <w:rPr/>
            </w:pPr>
            <w:r>
              <w:rPr/>
              <w:t> </w:t>
            </w:r>
          </w:p>
        </w:tc>
      </w:tr>
      <w:tr>
        <w:trPr/>
        <w:tc>
          <w:tcPr>
            <w:tcW w:w="5315"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Exercise Price:</w:t>
            </w:r>
          </w:p>
        </w:tc>
        <w:tc>
          <w:tcPr>
            <w:tcW w:w="165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$272.2350</w:t>
            </w:r>
          </w:p>
        </w:tc>
      </w:tr>
      <w:tr>
        <w:trPr/>
        <w:tc>
          <w:tcPr>
            <w:tcW w:w="5315"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Initial number of underlying shares of Class A Common Stock:</w:t>
            </w:r>
          </w:p>
        </w:tc>
        <w:tc>
          <w:tcPr>
            <w:tcW w:w="165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1,836,648</w:t>
            </w:r>
          </w:p>
        </w:tc>
      </w:tr>
      <w:tr>
        <w:trPr/>
        <w:tc>
          <w:tcPr>
            <w:tcW w:w="5315"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1655" w:type="dxa"/>
            <w:tcBorders>
              <w:right w:val="single" w:sz="8" w:space="0" w:color="000000"/>
            </w:tcBorders>
            <w:tcMar>
              <w:top w:w="0" w:type="dxa"/>
              <w:left w:w="0" w:type="dxa"/>
              <w:bottom w:w="0" w:type="dxa"/>
              <w:right w:w="108" w:type="dxa"/>
            </w:tcMar>
            <w:vAlign w:val="center"/>
          </w:tcPr>
          <w:p>
            <w:pPr>
              <w:pStyle w:val="TableContents"/>
              <w:bidi w:val="0"/>
              <w:spacing w:before="0" w:after="283"/>
              <w:jc w:val="left"/>
              <w:rPr/>
            </w:pPr>
            <w:r>
              <w:rPr/>
              <w:t> </w:t>
            </w:r>
          </w:p>
        </w:tc>
      </w:tr>
      <w:tr>
        <w:trPr/>
        <w:tc>
          <w:tcPr>
            <w:tcW w:w="5315"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Expiration:</w:t>
            </w:r>
          </w:p>
        </w:tc>
        <w:tc>
          <w:tcPr>
            <w:tcW w:w="165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5315" w:type="dxa"/>
            <w:tcBorders>
              <w:left w:val="single" w:sz="8" w:space="0" w:color="000000"/>
            </w:tcBorders>
            <w:tcMar>
              <w:top w:w="0" w:type="dxa"/>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Tranche 1</w:t>
            </w:r>
          </w:p>
        </w:tc>
        <w:tc>
          <w:tcPr>
            <w:tcW w:w="1655" w:type="dxa"/>
            <w:tcBorders>
              <w:right w:val="single" w:sz="8" w:space="0" w:color="000000"/>
            </w:tcBorders>
            <w:tcMar>
              <w:top w:w="0" w:type="dxa"/>
              <w:left w:w="0" w:type="dxa"/>
              <w:bottom w:w="0" w:type="dxa"/>
              <w:right w:w="10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10, 2029</w:t>
            </w:r>
          </w:p>
        </w:tc>
      </w:tr>
      <w:tr>
        <w:trPr/>
        <w:tc>
          <w:tcPr>
            <w:tcW w:w="5315"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Tranche 2</w:t>
            </w:r>
          </w:p>
        </w:tc>
        <w:tc>
          <w:tcPr>
            <w:tcW w:w="165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November 12, 2029</w:t>
            </w:r>
          </w:p>
        </w:tc>
      </w:tr>
      <w:tr>
        <w:trPr/>
        <w:tc>
          <w:tcPr>
            <w:tcW w:w="5315"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1655" w:type="dxa"/>
            <w:tcBorders>
              <w:right w:val="single" w:sz="8" w:space="0" w:color="000000"/>
            </w:tcBorders>
            <w:tcMar>
              <w:top w:w="0" w:type="dxa"/>
              <w:left w:w="0" w:type="dxa"/>
              <w:bottom w:w="0" w:type="dxa"/>
              <w:right w:w="108" w:type="dxa"/>
            </w:tcMar>
            <w:vAlign w:val="center"/>
          </w:tcPr>
          <w:p>
            <w:pPr>
              <w:pStyle w:val="TableContents"/>
              <w:bidi w:val="0"/>
              <w:spacing w:before="0" w:after="283"/>
              <w:jc w:val="left"/>
              <w:rPr/>
            </w:pPr>
            <w:r>
              <w:rPr/>
              <w:t> </w:t>
            </w:r>
          </w:p>
        </w:tc>
      </w:tr>
      <w:tr>
        <w:trPr/>
        <w:tc>
          <w:tcPr>
            <w:tcW w:w="5315"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Warrant Series C</w:t>
            </w:r>
          </w:p>
        </w:tc>
        <w:tc>
          <w:tcPr>
            <w:tcW w:w="1655" w:type="dxa"/>
            <w:tcBorders>
              <w:top w:val="single" w:sz="8" w:space="0" w:color="000000"/>
              <w:bottom w:val="single" w:sz="8" w:space="0" w:color="000000"/>
              <w:right w:val="single" w:sz="8" w:space="0" w:color="000000"/>
            </w:tcBorders>
            <w:tcMar>
              <w:left w:w="0" w:type="dxa"/>
              <w:right w:w="108" w:type="dxa"/>
            </w:tcMar>
            <w:vAlign w:val="center"/>
          </w:tcPr>
          <w:p>
            <w:pPr>
              <w:pStyle w:val="TableContents"/>
              <w:bidi w:val="0"/>
              <w:spacing w:before="0" w:after="283"/>
              <w:jc w:val="left"/>
              <w:rPr/>
            </w:pPr>
            <w:r>
              <w:rPr/>
              <w:t> </w:t>
            </w:r>
          </w:p>
        </w:tc>
      </w:tr>
      <w:tr>
        <w:trPr/>
        <w:tc>
          <w:tcPr>
            <w:tcW w:w="5315"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Exercise Price:</w:t>
            </w:r>
          </w:p>
        </w:tc>
        <w:tc>
          <w:tcPr>
            <w:tcW w:w="165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$317.6075</w:t>
            </w:r>
          </w:p>
        </w:tc>
      </w:tr>
      <w:tr>
        <w:trPr/>
        <w:tc>
          <w:tcPr>
            <w:tcW w:w="5315"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Initial number of underlying shares of Class A Common Stock:</w:t>
            </w:r>
          </w:p>
        </w:tc>
        <w:tc>
          <w:tcPr>
            <w:tcW w:w="165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1,574,270</w:t>
            </w:r>
          </w:p>
        </w:tc>
      </w:tr>
      <w:tr>
        <w:trPr/>
        <w:tc>
          <w:tcPr>
            <w:tcW w:w="5315"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1655" w:type="dxa"/>
            <w:tcBorders>
              <w:right w:val="single" w:sz="8" w:space="0" w:color="000000"/>
            </w:tcBorders>
            <w:tcMar>
              <w:top w:w="0" w:type="dxa"/>
              <w:left w:w="0" w:type="dxa"/>
              <w:bottom w:w="0" w:type="dxa"/>
              <w:right w:w="108" w:type="dxa"/>
            </w:tcMar>
            <w:vAlign w:val="center"/>
          </w:tcPr>
          <w:p>
            <w:pPr>
              <w:pStyle w:val="TableContents"/>
              <w:bidi w:val="0"/>
              <w:spacing w:before="0" w:after="283"/>
              <w:jc w:val="left"/>
              <w:rPr/>
            </w:pPr>
            <w:r>
              <w:rPr/>
              <w:t> </w:t>
            </w:r>
          </w:p>
        </w:tc>
      </w:tr>
      <w:tr>
        <w:trPr/>
        <w:tc>
          <w:tcPr>
            <w:tcW w:w="5315"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Expiration:</w:t>
            </w:r>
          </w:p>
        </w:tc>
        <w:tc>
          <w:tcPr>
            <w:tcW w:w="165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5315" w:type="dxa"/>
            <w:tcBorders>
              <w:left w:val="single" w:sz="8" w:space="0" w:color="000000"/>
            </w:tcBorders>
            <w:tcMar>
              <w:top w:w="0" w:type="dxa"/>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Tranche 1</w:t>
            </w:r>
          </w:p>
        </w:tc>
        <w:tc>
          <w:tcPr>
            <w:tcW w:w="1655" w:type="dxa"/>
            <w:tcBorders>
              <w:right w:val="single" w:sz="8" w:space="0" w:color="000000"/>
            </w:tcBorders>
            <w:tcMar>
              <w:top w:w="0" w:type="dxa"/>
              <w:left w:w="0" w:type="dxa"/>
              <w:bottom w:w="0" w:type="dxa"/>
              <w:right w:w="10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10, 2030</w:t>
            </w:r>
          </w:p>
        </w:tc>
      </w:tr>
      <w:tr>
        <w:trPr/>
        <w:tc>
          <w:tcPr>
            <w:tcW w:w="5315"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Tranche 2</w:t>
            </w:r>
          </w:p>
        </w:tc>
        <w:tc>
          <w:tcPr>
            <w:tcW w:w="165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November 12, 2030</w:t>
            </w:r>
          </w:p>
        </w:tc>
      </w:tr>
      <w:tr>
        <w:trPr/>
        <w:tc>
          <w:tcPr>
            <w:tcW w:w="5315"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1655" w:type="dxa"/>
            <w:tcBorders>
              <w:right w:val="single" w:sz="8" w:space="0" w:color="000000"/>
            </w:tcBorders>
            <w:tcMar>
              <w:top w:w="0" w:type="dxa"/>
              <w:left w:w="0" w:type="dxa"/>
              <w:bottom w:w="0" w:type="dxa"/>
              <w:right w:w="108" w:type="dxa"/>
            </w:tcMar>
            <w:vAlign w:val="center"/>
          </w:tcPr>
          <w:p>
            <w:pPr>
              <w:pStyle w:val="TableContents"/>
              <w:bidi w:val="0"/>
              <w:spacing w:before="0" w:after="283"/>
              <w:jc w:val="left"/>
              <w:rPr/>
            </w:pPr>
            <w:r>
              <w:rPr/>
              <w:t> </w:t>
            </w:r>
          </w:p>
        </w:tc>
      </w:tr>
      <w:tr>
        <w:trPr/>
        <w:tc>
          <w:tcPr>
            <w:tcW w:w="5315"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Warrant Series D</w:t>
            </w:r>
          </w:p>
        </w:tc>
        <w:tc>
          <w:tcPr>
            <w:tcW w:w="1655" w:type="dxa"/>
            <w:tcBorders>
              <w:top w:val="single" w:sz="8" w:space="0" w:color="000000"/>
              <w:bottom w:val="single" w:sz="8" w:space="0" w:color="000000"/>
              <w:right w:val="single" w:sz="8" w:space="0" w:color="000000"/>
            </w:tcBorders>
            <w:tcMar>
              <w:left w:w="0" w:type="dxa"/>
              <w:right w:w="108" w:type="dxa"/>
            </w:tcMar>
            <w:vAlign w:val="center"/>
          </w:tcPr>
          <w:p>
            <w:pPr>
              <w:pStyle w:val="TableContents"/>
              <w:bidi w:val="0"/>
              <w:spacing w:before="0" w:after="283"/>
              <w:jc w:val="left"/>
              <w:rPr/>
            </w:pPr>
            <w:r>
              <w:rPr/>
              <w:t> </w:t>
            </w:r>
          </w:p>
        </w:tc>
      </w:tr>
      <w:tr>
        <w:trPr/>
        <w:tc>
          <w:tcPr>
            <w:tcW w:w="5315"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Exercise Price:</w:t>
            </w:r>
          </w:p>
        </w:tc>
        <w:tc>
          <w:tcPr>
            <w:tcW w:w="165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$362.9800</w:t>
            </w:r>
          </w:p>
        </w:tc>
      </w:tr>
      <w:tr>
        <w:trPr/>
        <w:tc>
          <w:tcPr>
            <w:tcW w:w="5315"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Initial number of underlying shares of Class A Common Stock:</w:t>
            </w:r>
          </w:p>
        </w:tc>
        <w:tc>
          <w:tcPr>
            <w:tcW w:w="165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1,377,486</w:t>
            </w:r>
          </w:p>
        </w:tc>
      </w:tr>
      <w:tr>
        <w:trPr/>
        <w:tc>
          <w:tcPr>
            <w:tcW w:w="5315"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1655" w:type="dxa"/>
            <w:tcBorders>
              <w:right w:val="single" w:sz="8" w:space="0" w:color="000000"/>
            </w:tcBorders>
            <w:tcMar>
              <w:top w:w="0" w:type="dxa"/>
              <w:left w:w="0" w:type="dxa"/>
              <w:bottom w:w="0" w:type="dxa"/>
              <w:right w:w="108" w:type="dxa"/>
            </w:tcMar>
            <w:vAlign w:val="center"/>
          </w:tcPr>
          <w:p>
            <w:pPr>
              <w:pStyle w:val="TableContents"/>
              <w:bidi w:val="0"/>
              <w:spacing w:before="0" w:after="283"/>
              <w:jc w:val="left"/>
              <w:rPr/>
            </w:pPr>
            <w:r>
              <w:rPr/>
              <w:t> </w:t>
            </w:r>
          </w:p>
        </w:tc>
      </w:tr>
      <w:tr>
        <w:trPr/>
        <w:tc>
          <w:tcPr>
            <w:tcW w:w="5315"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Expiration:</w:t>
            </w:r>
          </w:p>
        </w:tc>
        <w:tc>
          <w:tcPr>
            <w:tcW w:w="165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5315" w:type="dxa"/>
            <w:tcBorders>
              <w:left w:val="single" w:sz="8" w:space="0" w:color="000000"/>
            </w:tcBorders>
            <w:tcMar>
              <w:top w:w="0" w:type="dxa"/>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Tranche 1</w:t>
            </w:r>
          </w:p>
        </w:tc>
        <w:tc>
          <w:tcPr>
            <w:tcW w:w="1655" w:type="dxa"/>
            <w:tcBorders>
              <w:right w:val="single" w:sz="8" w:space="0" w:color="000000"/>
            </w:tcBorders>
            <w:tcMar>
              <w:top w:w="0" w:type="dxa"/>
              <w:left w:w="0" w:type="dxa"/>
              <w:bottom w:w="0" w:type="dxa"/>
              <w:right w:w="10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10, 2031</w:t>
            </w:r>
          </w:p>
        </w:tc>
      </w:tr>
      <w:tr>
        <w:trPr/>
        <w:tc>
          <w:tcPr>
            <w:tcW w:w="5315" w:type="dxa"/>
            <w:tcBorders>
              <w:left w:val="single" w:sz="8" w:space="0" w:color="000000"/>
              <w:bottom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Tranche 2</w:t>
            </w:r>
          </w:p>
        </w:tc>
        <w:tc>
          <w:tcPr>
            <w:tcW w:w="1655" w:type="dxa"/>
            <w:tcBorders>
              <w:bottom w:val="single" w:sz="8" w:space="0" w:color="000000"/>
              <w:right w:val="single" w:sz="8" w:space="0" w:color="000000"/>
            </w:tcBorders>
            <w:tcMar>
              <w:top w:w="0" w:type="dxa"/>
              <w:left w:w="0" w:type="dxa"/>
              <w:right w:w="10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November 12, 2031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88"/>
        <w:gridCol w:w="8417"/>
      </w:tblGrid>
      <w:tr>
        <w:trPr/>
        <w:tc>
          <w:tcPr>
            <w:tcW w:w="1788"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offering price for Class A Common Stock:</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offering price for Pre-Funded Warrant:</w:t>
            </w:r>
          </w:p>
        </w:tc>
        <w:tc>
          <w:tcPr>
            <w:tcW w:w="8417"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$199.64 per share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$199.54 per pre-funded warrant</w:t>
            </w:r>
          </w:p>
        </w:tc>
      </w:tr>
      <w:tr>
        <w:trPr/>
        <w:tc>
          <w:tcPr>
            <w:tcW w:w="1788" w:type="dxa"/>
            <w:tcBorders/>
            <w:vAlign w:val="center"/>
          </w:tcPr>
          <w:p>
            <w:pPr>
              <w:pStyle w:val="TableContents"/>
              <w:bidi w:val="0"/>
              <w:spacing w:before="0" w:after="283"/>
              <w:jc w:val="left"/>
              <w:rPr>
                <w:sz w:val="20"/>
              </w:rPr>
            </w:pPr>
            <w:r>
              <w:rPr>
                <w:sz w:val="20"/>
              </w:rPr>
              <w:t xml:space="preserve">No Separate Consideration for Common Warrants: </w:t>
            </w:r>
          </w:p>
        </w:tc>
        <w:tc>
          <w:tcPr>
            <w:tcW w:w="841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Investors purchasing shares of Class A Common Stock or Pre-Funded Warrants will also receive a pro rata allocation of Common Warrants based on the number of shares of Class A Common Stock or Pre-Funded Warrants purchased by that investor. The Common Warrants are being issued as part of the overall offering of Class A Common Stock and Pre-Funded Warrants, and not for any separate additional consideration.</w:t>
            </w:r>
          </w:p>
        </w:tc>
      </w:tr>
      <w:tr>
        <w:trPr/>
        <w:tc>
          <w:tcPr>
            <w:tcW w:w="1788" w:type="dxa"/>
            <w:tcBorders/>
            <w:vAlign w:val="center"/>
          </w:tcPr>
          <w:p>
            <w:pPr>
              <w:pStyle w:val="TableContents"/>
              <w:bidi w:val="0"/>
              <w:spacing w:before="0" w:after="283"/>
              <w:jc w:val="left"/>
              <w:rPr>
                <w:sz w:val="20"/>
              </w:rPr>
            </w:pPr>
            <w:r>
              <w:rPr>
                <w:sz w:val="20"/>
              </w:rPr>
              <w:t>Trade Date:</w:t>
            </w:r>
          </w:p>
        </w:tc>
        <w:tc>
          <w:tcPr>
            <w:tcW w:w="841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September 10, 2026</w:t>
            </w:r>
          </w:p>
        </w:tc>
      </w:tr>
      <w:tr>
        <w:trPr/>
        <w:tc>
          <w:tcPr>
            <w:tcW w:w="1788" w:type="dxa"/>
            <w:tcBorders/>
            <w:vAlign w:val="center"/>
          </w:tcPr>
          <w:p>
            <w:pPr>
              <w:pStyle w:val="TableContents"/>
              <w:bidi w:val="0"/>
              <w:spacing w:before="0" w:after="283"/>
              <w:jc w:val="left"/>
              <w:rPr>
                <w:sz w:val="20"/>
              </w:rPr>
            </w:pPr>
            <w:r>
              <w:rPr>
                <w:sz w:val="20"/>
              </w:rPr>
              <w:t>Closing Date:</w:t>
            </w:r>
          </w:p>
        </w:tc>
        <w:tc>
          <w:tcPr>
            <w:tcW w:w="841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September 11, 2026</w:t>
            </w:r>
          </w:p>
        </w:tc>
      </w:tr>
      <w:tr>
        <w:trPr/>
        <w:tc>
          <w:tcPr>
            <w:tcW w:w="1788" w:type="dxa"/>
            <w:tcBorders/>
            <w:vAlign w:val="center"/>
          </w:tcPr>
          <w:p>
            <w:pPr>
              <w:pStyle w:val="TableContents"/>
              <w:bidi w:val="0"/>
              <w:spacing w:before="0" w:after="283"/>
              <w:jc w:val="left"/>
              <w:rPr>
                <w:sz w:val="20"/>
              </w:rPr>
            </w:pPr>
            <w:r>
              <w:rPr>
                <w:sz w:val="20"/>
              </w:rPr>
              <w:t>Joint Book-Running Managers:</w:t>
            </w:r>
          </w:p>
        </w:tc>
        <w:tc>
          <w:tcPr>
            <w:tcW w:w="8417"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Guggenheim Securities,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Barclays Capital Inc.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filed a registration statement (including a prospectus) with the SEC for the offering to which this communication relates. Before you invest, you should read the prospectus in the registration statement, any free writing prospectus, as well as the other documents the Company has filed with the SEC for more complete information about the Company and this offering. You may get these documents, and the prospectus supplement, when available, for free by visiting EDGAR on the SEC website at www.sec.gov. Alternatively, the Company, or any underwriter participating in the offering will arrange to send you the prospectus if you request it by contacting: Guggenheim Securities, LLC, Attention: Equity Syndicate Department, 330 Madison Avenue, 8th Floor, New York, NY 10017, by telephone at (212) 518-9544, or by email at GSEquityProspectusDelivery@guggenheimpartners.com or Barclays Capital Inc., c/o Broadridge Financial Solutions, 1155 Long Island Avenue, Edgewood, NY 11717, by email at barclaysprospectus@broadridge.com, or by telephone at (888) 603-5847.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827</Words>
  <Characters>4674</Characters>
  <CharactersWithSpaces>5465</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