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1534160</wp:posOffset>
            </wp:positionH>
            <wp:positionV relativeFrom="page">
              <wp:posOffset>621030</wp:posOffset>
            </wp:positionV>
            <wp:extent cx="448056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480560" cy="6985"/>
                    </a:xfrm>
                    <a:prstGeom prst="rect">
                      <a:avLst/>
                    </a:prstGeom>
                    <a:noFill/>
                  </pic:spPr>
                </pic:pic>
              </a:graphicData>
            </a:graphic>
          </wp:anchor>
        </w:drawing>
        <w:drawing>
          <wp:anchor simplePos="0" relativeHeight="251657728" behindDoc="1" locked="0" layoutInCell="0" allowOverlap="1">
            <wp:simplePos x="0" y="0"/>
            <wp:positionH relativeFrom="page">
              <wp:posOffset>1534160</wp:posOffset>
            </wp:positionH>
            <wp:positionV relativeFrom="page">
              <wp:posOffset>587375</wp:posOffset>
            </wp:positionV>
            <wp:extent cx="448056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480560" cy="13335"/>
                    </a:xfrm>
                    <a:prstGeom prst="rect">
                      <a:avLst/>
                    </a:prstGeom>
                    <a:noFill/>
                  </pic:spPr>
                </pic:pic>
              </a:graphicData>
            </a:graphic>
          </wp:anchor>
        </w:drawing>
        <w:t>UNITED STATES</w:t>
      </w:r>
    </w:p>
    <w:p>
      <w:pPr>
        <w:spacing w:after="0" w:line="3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1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7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19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39"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6"/>
          <w:szCs w:val="16"/>
          <w:color w:val="C0C0C0"/>
        </w:rPr>
        <w:t>_________________</w:t>
      </w:r>
    </w:p>
    <w:p>
      <w:pPr>
        <w:spacing w:after="0" w:line="18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Date of Report (Date of earliest event reported): June 18, 2026</w:t>
      </w:r>
    </w:p>
    <w:p>
      <w:pPr>
        <w:spacing w:after="0" w:line="19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8"/>
          <w:szCs w:val="28"/>
          <w:b w:val="1"/>
          <w:bCs w:val="1"/>
          <w:color w:val="auto"/>
        </w:rPr>
        <w:t>Centrus Energy Corp.</w:t>
      </w:r>
    </w:p>
    <w:p>
      <w:pPr>
        <w:spacing w:after="0" w:line="6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ectPr>
          <w:pgSz w:w="11900" w:h="16838" w:orient="portrait"/>
          <w:cols w:equalWidth="0" w:num="1">
            <w:col w:w="11060"/>
          </w:cols>
          <w:pgMar w:left="300" w:top="1214" w:right="539" w:bottom="1440" w:gutter="0" w:footer="0" w:header="0"/>
        </w:sectPr>
      </w:pPr>
    </w:p>
    <w:p>
      <w:pPr>
        <w:spacing w:after="0" w:line="316"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27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1-14287</w:t>
      </w:r>
    </w:p>
    <w:p>
      <w:pPr>
        <w:spacing w:after="0" w:line="20" w:lineRule="exact"/>
        <w:rPr>
          <w:sz w:val="24"/>
          <w:szCs w:val="24"/>
          <w:color w:val="auto"/>
        </w:rPr>
      </w:pPr>
      <w:r>
        <w:rPr>
          <w:sz w:val="24"/>
          <w:szCs w:val="24"/>
          <w:color w:val="auto"/>
        </w:rPr>
        <w:br w:type="column"/>
      </w:r>
    </w:p>
    <w:p>
      <w:pPr>
        <w:spacing w:after="0" w:line="29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52-2107911</w:t>
      </w:r>
    </w:p>
    <w:p>
      <w:pPr>
        <w:spacing w:after="0" w:line="41" w:lineRule="exact"/>
        <w:rPr>
          <w:sz w:val="24"/>
          <w:szCs w:val="24"/>
          <w:color w:val="auto"/>
        </w:rPr>
      </w:pPr>
    </w:p>
    <w:p>
      <w:pPr>
        <w:sectPr>
          <w:pgSz w:w="11900" w:h="16838" w:orient="portrait"/>
          <w:cols w:equalWidth="0" w:num="3">
            <w:col w:w="4740" w:space="720"/>
            <w:col w:w="1640" w:space="720"/>
            <w:col w:w="3240"/>
          </w:cols>
          <w:pgMar w:left="300" w:top="1214" w:right="539" w:bottom="1440" w:gutter="0" w:footer="0" w:header="0"/>
          <w:type w:val="continuous"/>
        </w:sectPr>
      </w:pPr>
    </w:p>
    <w:p>
      <w:pPr>
        <w:ind w:left="1960"/>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p>
      <w:pPr>
        <w:spacing w:after="0" w:line="200" w:lineRule="exact"/>
        <w:rPr>
          <w:sz w:val="24"/>
          <w:szCs w:val="24"/>
          <w:color w:val="auto"/>
        </w:rPr>
      </w:pPr>
    </w:p>
    <w:p>
      <w:pPr>
        <w:sectPr>
          <w:pgSz w:w="11900" w:h="16838" w:orient="portrait"/>
          <w:cols w:equalWidth="0" w:num="3">
            <w:col w:w="4480" w:space="480"/>
            <w:col w:w="1540" w:space="640"/>
            <w:col w:w="3920"/>
          </w:cols>
          <w:pgMar w:left="300" w:top="1214" w:right="539" w:bottom="1440" w:gutter="0" w:footer="0" w:header="0"/>
          <w:type w:val="continuous"/>
        </w:sectPr>
      </w:pPr>
    </w:p>
    <w:p>
      <w:pPr>
        <w:spacing w:after="0" w:line="70"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6"/>
          <w:szCs w:val="16"/>
          <w:b w:val="1"/>
          <w:bCs w:val="1"/>
          <w:color w:val="auto"/>
        </w:rPr>
        <w:t>6901 Rockledge Drive, Suite 800</w:t>
      </w:r>
    </w:p>
    <w:p>
      <w:pPr>
        <w:spacing w:after="0" w:line="21"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6"/>
          <w:szCs w:val="16"/>
          <w:b w:val="1"/>
          <w:bCs w:val="1"/>
          <w:color w:val="auto"/>
        </w:rPr>
        <w:t>Bethesda, MD 20817</w:t>
      </w:r>
    </w:p>
    <w:p>
      <w:pPr>
        <w:spacing w:after="0" w:line="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p>
      <w:pPr>
        <w:spacing w:after="0" w:line="16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(301) 564-3200</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04" w:lineRule="exact"/>
        <w:rPr>
          <w:sz w:val="24"/>
          <w:szCs w:val="24"/>
          <w:color w:val="auto"/>
        </w:rPr>
      </w:pPr>
    </w:p>
    <w:p>
      <w:pPr>
        <w:ind w:left="2600" w:hanging="332"/>
        <w:spacing w:after="0"/>
        <w:tabs>
          <w:tab w:leader="none" w:pos="26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93" w:lineRule="exact"/>
        <w:rPr>
          <w:rFonts w:ascii="MS PGothic" w:cs="MS PGothic" w:eastAsia="MS PGothic" w:hAnsi="MS PGothic"/>
          <w:sz w:val="14"/>
          <w:szCs w:val="14"/>
          <w:color w:val="auto"/>
        </w:rPr>
      </w:pPr>
    </w:p>
    <w:p>
      <w:pPr>
        <w:ind w:left="2600" w:hanging="332"/>
        <w:spacing w:after="0"/>
        <w:tabs>
          <w:tab w:leader="none" w:pos="26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93" w:lineRule="exact"/>
        <w:rPr>
          <w:rFonts w:ascii="MS PGothic" w:cs="MS PGothic" w:eastAsia="MS PGothic" w:hAnsi="MS PGothic"/>
          <w:sz w:val="14"/>
          <w:szCs w:val="14"/>
          <w:color w:val="auto"/>
        </w:rPr>
      </w:pPr>
    </w:p>
    <w:p>
      <w:pPr>
        <w:ind w:left="2600" w:hanging="332"/>
        <w:spacing w:after="0"/>
        <w:tabs>
          <w:tab w:leader="none" w:pos="26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93" w:lineRule="exact"/>
        <w:rPr>
          <w:rFonts w:ascii="MS PGothic" w:cs="MS PGothic" w:eastAsia="MS PGothic" w:hAnsi="MS PGothic"/>
          <w:sz w:val="14"/>
          <w:szCs w:val="14"/>
          <w:color w:val="auto"/>
        </w:rPr>
      </w:pPr>
    </w:p>
    <w:p>
      <w:pPr>
        <w:ind w:left="2600" w:hanging="332"/>
        <w:spacing w:after="0"/>
        <w:tabs>
          <w:tab w:leader="none" w:pos="26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304"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45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162"/>
        </w:trPr>
        <w:tc>
          <w:tcPr>
            <w:tcW w:w="19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Title of Each Class</w:t>
            </w:r>
          </w:p>
        </w:tc>
        <w:tc>
          <w:tcPr>
            <w:tcW w:w="1580" w:type="dxa"/>
            <w:vAlign w:val="bottom"/>
          </w:tcPr>
          <w:p>
            <w:pPr>
              <w:spacing w:after="0"/>
              <w:rPr>
                <w:sz w:val="14"/>
                <w:szCs w:val="14"/>
                <w:color w:val="auto"/>
              </w:rPr>
            </w:pPr>
          </w:p>
        </w:tc>
        <w:tc>
          <w:tcPr>
            <w:tcW w:w="2280" w:type="dxa"/>
            <w:vAlign w:val="bottom"/>
            <w:gridSpan w:val="3"/>
          </w:tcPr>
          <w:p>
            <w:pPr>
              <w:jc w:val="center"/>
              <w:ind w:left="33"/>
              <w:spacing w:after="0"/>
              <w:rPr>
                <w:sz w:val="20"/>
                <w:szCs w:val="20"/>
                <w:color w:val="auto"/>
              </w:rPr>
            </w:pPr>
            <w:r>
              <w:rPr>
                <w:rFonts w:ascii="Times New Roman" w:cs="Times New Roman" w:eastAsia="Times New Roman" w:hAnsi="Times New Roman"/>
                <w:sz w:val="13"/>
                <w:szCs w:val="13"/>
                <w:color w:val="auto"/>
              </w:rPr>
              <w:t>Trading Symbol</w:t>
            </w:r>
          </w:p>
        </w:tc>
        <w:tc>
          <w:tcPr>
            <w:tcW w:w="3160" w:type="dxa"/>
            <w:vAlign w:val="bottom"/>
            <w:gridSpan w:val="2"/>
          </w:tcPr>
          <w:p>
            <w:pPr>
              <w:jc w:val="center"/>
              <w:ind w:left="593"/>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r>
      <w:tr>
        <w:trPr>
          <w:trHeight w:val="20"/>
        </w:trPr>
        <w:tc>
          <w:tcPr>
            <w:tcW w:w="19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r>
      <w:tr>
        <w:trPr>
          <w:trHeight w:val="190"/>
        </w:trPr>
        <w:tc>
          <w:tcPr>
            <w:tcW w:w="4560" w:type="dxa"/>
            <w:vAlign w:val="bottom"/>
            <w:gridSpan w:val="3"/>
          </w:tcPr>
          <w:p>
            <w:pPr>
              <w:jc w:val="center"/>
              <w:ind w:left="293"/>
              <w:spacing w:after="0"/>
              <w:rPr>
                <w:sz w:val="20"/>
                <w:szCs w:val="20"/>
                <w:color w:val="auto"/>
              </w:rPr>
            </w:pPr>
            <w:r>
              <w:rPr>
                <w:rFonts w:ascii="Times New Roman" w:cs="Times New Roman" w:eastAsia="Times New Roman" w:hAnsi="Times New Roman"/>
                <w:sz w:val="13"/>
                <w:szCs w:val="13"/>
                <w:color w:val="auto"/>
              </w:rPr>
              <w:t>Class A Common Stock, par value $0.10 per share</w:t>
            </w:r>
          </w:p>
        </w:tc>
        <w:tc>
          <w:tcPr>
            <w:tcW w:w="760" w:type="dxa"/>
            <w:vAlign w:val="bottom"/>
          </w:tcPr>
          <w:p>
            <w:pPr>
              <w:spacing w:after="0"/>
              <w:rPr>
                <w:sz w:val="16"/>
                <w:szCs w:val="16"/>
                <w:color w:val="auto"/>
              </w:rPr>
            </w:pPr>
          </w:p>
        </w:tc>
        <w:tc>
          <w:tcPr>
            <w:tcW w:w="1520" w:type="dxa"/>
            <w:vAlign w:val="bottom"/>
            <w:gridSpan w:val="2"/>
          </w:tcPr>
          <w:p>
            <w:pPr>
              <w:jc w:val="center"/>
              <w:ind w:right="660"/>
              <w:spacing w:after="0"/>
              <w:rPr>
                <w:sz w:val="20"/>
                <w:szCs w:val="20"/>
                <w:color w:val="auto"/>
              </w:rPr>
            </w:pPr>
            <w:r>
              <w:rPr>
                <w:rFonts w:ascii="Times New Roman" w:cs="Times New Roman" w:eastAsia="Times New Roman" w:hAnsi="Times New Roman"/>
                <w:sz w:val="13"/>
                <w:szCs w:val="13"/>
                <w:color w:val="auto"/>
              </w:rPr>
              <w:t>LEU</w:t>
            </w:r>
          </w:p>
        </w:tc>
        <w:tc>
          <w:tcPr>
            <w:tcW w:w="66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NYSE</w:t>
            </w:r>
          </w:p>
        </w:tc>
      </w:tr>
    </w:tbl>
    <w:p>
      <w:pPr>
        <w:spacing w:after="0" w:line="306" w:lineRule="exact"/>
        <w:rPr>
          <w:sz w:val="24"/>
          <w:szCs w:val="24"/>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31"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694690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1343660</wp:posOffset>
            </wp:positionH>
            <wp:positionV relativeFrom="paragraph">
              <wp:posOffset>215265</wp:posOffset>
            </wp:positionV>
            <wp:extent cx="448056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480560" cy="13335"/>
                    </a:xfrm>
                    <a:prstGeom prst="rect">
                      <a:avLst/>
                    </a:prstGeom>
                    <a:noFill/>
                  </pic:spPr>
                </pic:pic>
              </a:graphicData>
            </a:graphic>
          </wp:anchor>
        </w:drawing>
        <w:drawing>
          <wp:anchor simplePos="0" relativeHeight="251657728" behindDoc="1" locked="0" layoutInCell="0" allowOverlap="1">
            <wp:simplePos x="0" y="0"/>
            <wp:positionH relativeFrom="column">
              <wp:posOffset>1343660</wp:posOffset>
            </wp:positionH>
            <wp:positionV relativeFrom="paragraph">
              <wp:posOffset>194945</wp:posOffset>
            </wp:positionV>
            <wp:extent cx="448056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80560" cy="6985"/>
                    </a:xfrm>
                    <a:prstGeom prst="rect">
                      <a:avLst/>
                    </a:prstGeom>
                    <a:noFill/>
                  </pic:spPr>
                </pic:pic>
              </a:graphicData>
            </a:graphic>
          </wp:anchor>
        </w:drawing>
      </w:r>
    </w:p>
    <w:p>
      <w:pPr>
        <w:sectPr>
          <w:pgSz w:w="11900" w:h="16838" w:orient="portrait"/>
          <w:cols w:equalWidth="0" w:num="1">
            <w:col w:w="11060"/>
          </w:cols>
          <w:pgMar w:left="300" w:top="1214" w:right="5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8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On June 18, 2026, Centrus Energy Corp. (“Centrus”) issued a press release announcing that it has signed a non-binding letter of intent with Oklo, Inc. (“Oklo”) for Centrus to supply high-assay, low-enriched uranium (“HALEU”) to Oklo. The press release indicates that, should a definitive agreement ultimately be executed, the HALEU supplied thereunder would be produced at Centrus’ Piketon, Ohio, facility, with HALEU deliveries scheduled to begin in 2029. The press release further indicates that the HALEU being delivered by Centrus to Oklo is expected to be utilized to fuel Oklo’s planned 1.2 gigawatt power campus in the region.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copy of the press release is attached hereto as Exhibit 99.1 and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15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Exhibit No.</w:t>
            </w:r>
          </w:p>
        </w:tc>
        <w:tc>
          <w:tcPr>
            <w:tcW w:w="480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288"/>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auto"/>
              </w:rPr>
              <w:t>99.1</w:t>
            </w:r>
          </w:p>
        </w:tc>
        <w:tc>
          <w:tcPr>
            <w:tcW w:w="780" w:type="dxa"/>
            <w:vAlign w:val="bottom"/>
          </w:tcPr>
          <w:p>
            <w:pPr>
              <w:spacing w:after="0"/>
              <w:rPr>
                <w:sz w:val="24"/>
                <w:szCs w:val="24"/>
                <w:color w:val="auto"/>
              </w:rPr>
            </w:pPr>
          </w:p>
        </w:tc>
        <w:tc>
          <w:tcPr>
            <w:tcW w:w="480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Press Release dated June 18, 2026</w:t>
            </w:r>
          </w:p>
        </w:tc>
      </w:tr>
      <w:tr>
        <w:trPr>
          <w:trHeight w:val="20"/>
        </w:trPr>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20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auto"/>
              </w:rPr>
              <w:t>104</w:t>
            </w:r>
          </w:p>
        </w:tc>
        <w:tc>
          <w:tcPr>
            <w:tcW w:w="780" w:type="dxa"/>
            <w:vAlign w:val="bottom"/>
          </w:tcPr>
          <w:p>
            <w:pPr>
              <w:spacing w:after="0"/>
              <w:rPr>
                <w:sz w:val="17"/>
                <w:szCs w:val="17"/>
                <w:color w:val="auto"/>
              </w:rPr>
            </w:pPr>
          </w:p>
        </w:tc>
        <w:tc>
          <w:tcPr>
            <w:tcW w:w="4800" w:type="dxa"/>
            <w:vAlign w:val="bottom"/>
            <w:gridSpan w:val="3"/>
          </w:tcPr>
          <w:p>
            <w:pPr>
              <w:spacing w:after="0"/>
              <w:rPr>
                <w:sz w:val="20"/>
                <w:szCs w:val="20"/>
                <w:color w:val="auto"/>
              </w:rPr>
            </w:pPr>
            <w:r>
              <w:rPr>
                <w:rFonts w:ascii="Times New Roman" w:cs="Times New Roman" w:eastAsia="Times New Roman" w:hAnsi="Times New Roman"/>
                <w:sz w:val="15"/>
                <w:szCs w:val="15"/>
                <w:color w:val="auto"/>
                <w:w w:val="98"/>
              </w:rPr>
              <w:t>Cover Page Interactive Data File (embedded within the Inline XBRL Document)</w:t>
            </w:r>
          </w:p>
        </w:tc>
      </w:tr>
    </w:tbl>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17" w:lineRule="exact"/>
        <w:rPr>
          <w:sz w:val="20"/>
          <w:szCs w:val="20"/>
          <w:color w:val="auto"/>
        </w:rPr>
      </w:pPr>
    </w:p>
    <w:p>
      <w:pPr>
        <w:ind w:right="280" w:firstLine="382"/>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5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Centrus Energy Corp.</w:t>
            </w:r>
          </w:p>
        </w:tc>
      </w:tr>
      <w:tr>
        <w:trPr>
          <w:trHeight w:val="608"/>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2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June 18, 2026</w:t>
            </w:r>
          </w:p>
        </w:tc>
        <w:tc>
          <w:tcPr>
            <w:tcW w:w="158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By:</w:t>
            </w:r>
          </w:p>
        </w:tc>
        <w:tc>
          <w:tcPr>
            <w:tcW w:w="6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/s/ Todd M. Tinelli</w:t>
            </w:r>
          </w:p>
        </w:tc>
      </w:tr>
      <w:tr>
        <w:trPr>
          <w:trHeight w:val="188"/>
        </w:trPr>
        <w:tc>
          <w:tcPr>
            <w:tcW w:w="5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Todd M. Tinelli</w:t>
            </w:r>
          </w:p>
        </w:tc>
      </w:tr>
      <w:tr>
        <w:trPr>
          <w:trHeight w:val="203"/>
        </w:trPr>
        <w:tc>
          <w:tcPr>
            <w:tcW w:w="5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Senior Vice President, Chief Financial Officer, and Treasurer</w:t>
            </w:r>
          </w:p>
        </w:tc>
      </w:tr>
    </w:tbl>
    <w:p>
      <w:pPr>
        <w:sectPr>
          <w:pgSz w:w="11900" w:h="16838" w:orient="portrait"/>
          <w:cols w:equalWidth="0" w:num="1">
            <w:col w:w="11280"/>
          </w:cols>
          <w:pgMar w:left="300" w:top="989" w:right="319" w:bottom="1440" w:gutter="0" w:footer="0" w:header="0"/>
        </w:sectPr>
      </w:pPr>
    </w:p>
    <w:bookmarkStart w:id="2" w:name="page3"/>
    <w:bookmarkEnd w:id="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408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78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47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2026-06-18T15:41:03Z</dcterms:created>
  <dcterms:modified xsi:type="dcterms:W3CDTF">2026-06-18T15:41:03Z</dcterms:modified>
</cp:coreProperties>
</file>