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648335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72" w:lineRule="exact"/>
        <w:rPr>
          <w:sz w:val="24"/>
          <w:szCs w:val="24"/>
          <w:color w:val="auto"/>
        </w:rPr>
      </w:pPr>
    </w:p>
    <w:p>
      <w:pPr>
        <w:ind w:left="320" w:hanging="301"/>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115" w:lineRule="exact"/>
        <w:rPr>
          <w:sz w:val="24"/>
          <w:szCs w:val="24"/>
          <w:color w:val="auto"/>
        </w:rPr>
      </w:pPr>
    </w:p>
    <w:p>
      <w:pPr>
        <w:ind w:left="320" w:hanging="301"/>
        <w:spacing w:after="0"/>
        <w:tabs>
          <w:tab w:leader="none" w:pos="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08" w:lineRule="exact"/>
        <w:rPr>
          <w:sz w:val="24"/>
          <w:szCs w:val="24"/>
          <w:color w:val="auto"/>
        </w:rPr>
      </w:pPr>
    </w:p>
    <w:tbl>
      <w:tblPr>
        <w:tblLayout w:type="fixed"/>
        <w:tblInd w:w="26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Commission file number 1-14287</w:t>
            </w:r>
          </w:p>
        </w:tc>
        <w:tc>
          <w:tcPr>
            <w:tcW w:w="6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352"/>
        </w:trPr>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60" w:type="dxa"/>
            <w:vAlign w:val="bottom"/>
            <w:gridSpan w:val="3"/>
          </w:tcPr>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Centrus Energy Corp.</w:t>
            </w: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0"/>
        </w:trPr>
        <w:tc>
          <w:tcPr>
            <w:tcW w:w="1700" w:type="dxa"/>
            <w:vAlign w:val="bottom"/>
          </w:tcPr>
          <w:p>
            <w:pPr>
              <w:spacing w:after="0"/>
              <w:rPr>
                <w:sz w:val="21"/>
                <w:szCs w:val="21"/>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560" w:type="dxa"/>
            <w:vAlign w:val="bottom"/>
            <w:gridSpan w:val="2"/>
          </w:tcPr>
          <w:p>
            <w:pPr>
              <w:jc w:val="right"/>
              <w:ind w:right="1175"/>
              <w:spacing w:after="0"/>
              <w:rPr>
                <w:sz w:val="20"/>
                <w:szCs w:val="20"/>
                <w:color w:val="auto"/>
              </w:rPr>
            </w:pPr>
            <w:r>
              <w:rPr>
                <w:rFonts w:ascii="Times New Roman" w:cs="Times New Roman" w:eastAsia="Times New Roman" w:hAnsi="Times New Roman"/>
                <w:sz w:val="13"/>
                <w:szCs w:val="13"/>
                <w:b w:val="1"/>
                <w:bCs w:val="1"/>
                <w:color w:val="auto"/>
              </w:rPr>
              <w:t>52-2107911</w:t>
            </w:r>
          </w:p>
        </w:tc>
      </w:tr>
      <w:tr>
        <w:trPr>
          <w:trHeight w:val="178"/>
        </w:trPr>
        <w:tc>
          <w:tcPr>
            <w:tcW w:w="1700" w:type="dxa"/>
            <w:vAlign w:val="bottom"/>
          </w:tcPr>
          <w:p>
            <w:pPr>
              <w:spacing w:after="0"/>
              <w:rPr>
                <w:sz w:val="15"/>
                <w:szCs w:val="15"/>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i w:val="1"/>
                <w:iCs w:val="1"/>
                <w:color w:val="auto"/>
                <w:w w:val="97"/>
              </w:rPr>
              <w:t>(State of incorporation)</w:t>
            </w: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tcPr>
          <w:p>
            <w:pPr>
              <w:jc w:val="center"/>
              <w:ind w:right="575"/>
              <w:spacing w:after="0"/>
              <w:rPr>
                <w:sz w:val="20"/>
                <w:szCs w:val="20"/>
                <w:color w:val="auto"/>
              </w:rPr>
            </w:pPr>
            <w:r>
              <w:rPr>
                <w:rFonts w:ascii="Times New Roman" w:cs="Times New Roman" w:eastAsia="Times New Roman" w:hAnsi="Times New Roman"/>
                <w:sz w:val="13"/>
                <w:szCs w:val="13"/>
                <w:i w:val="1"/>
                <w:iCs w:val="1"/>
                <w:color w:val="auto"/>
                <w:w w:val="97"/>
              </w:rPr>
              <w:t>(I.R.S. Employer Identification No.)</w:t>
            </w:r>
          </w:p>
        </w:tc>
      </w:tr>
      <w:tr>
        <w:trPr>
          <w:trHeight w:val="217"/>
        </w:trPr>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6901 Rockledge Drive, Suite 800, Bethesda, Maryland 20817</w:t>
            </w: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8"/>
        </w:trPr>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gridSpan w:val="2"/>
          </w:tcPr>
          <w:p>
            <w:pPr>
              <w:jc w:val="center"/>
              <w:ind w:left="1140"/>
              <w:spacing w:after="0"/>
              <w:rPr>
                <w:sz w:val="20"/>
                <w:szCs w:val="20"/>
                <w:color w:val="auto"/>
              </w:rPr>
            </w:pPr>
            <w:r>
              <w:rPr>
                <w:rFonts w:ascii="Times New Roman" w:cs="Times New Roman" w:eastAsia="Times New Roman" w:hAnsi="Times New Roman"/>
                <w:sz w:val="13"/>
                <w:szCs w:val="13"/>
                <w:b w:val="1"/>
                <w:bCs w:val="1"/>
                <w:color w:val="auto"/>
              </w:rPr>
              <w:t>(301) 564-3200</w:t>
            </w: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02"/>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3"/>
        </w:trPr>
        <w:tc>
          <w:tcPr>
            <w:tcW w:w="17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900" w:type="dxa"/>
            <w:vAlign w:val="bottom"/>
          </w:tcPr>
          <w:p>
            <w:pPr>
              <w:spacing w:after="0"/>
              <w:rPr>
                <w:sz w:val="16"/>
                <w:szCs w:val="16"/>
                <w:color w:val="auto"/>
              </w:rPr>
            </w:pPr>
          </w:p>
        </w:tc>
        <w:tc>
          <w:tcPr>
            <w:tcW w:w="3560" w:type="dxa"/>
            <w:vAlign w:val="bottom"/>
            <w:gridSpan w:val="3"/>
          </w:tcPr>
          <w:p>
            <w:pPr>
              <w:jc w:val="center"/>
              <w:ind w:left="100"/>
              <w:spacing w:after="0"/>
              <w:rPr>
                <w:sz w:val="20"/>
                <w:szCs w:val="20"/>
                <w:color w:val="auto"/>
              </w:rPr>
            </w:pPr>
            <w:r>
              <w:rPr>
                <w:rFonts w:ascii="Times New Roman" w:cs="Times New Roman" w:eastAsia="Times New Roman" w:hAnsi="Times New Roman"/>
                <w:sz w:val="13"/>
                <w:szCs w:val="13"/>
                <w:color w:val="auto"/>
              </w:rPr>
              <w:t>Trading Symbol</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20"/>
        </w:trPr>
        <w:tc>
          <w:tcPr>
            <w:tcW w:w="1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90"/>
        </w:trPr>
        <w:tc>
          <w:tcPr>
            <w:tcW w:w="3620" w:type="dxa"/>
            <w:vAlign w:val="bottom"/>
            <w:gridSpan w:val="3"/>
          </w:tcPr>
          <w:p>
            <w:pPr>
              <w:jc w:val="center"/>
              <w:ind w:left="713"/>
              <w:spacing w:after="0"/>
              <w:rPr>
                <w:sz w:val="20"/>
                <w:szCs w:val="20"/>
                <w:color w:val="auto"/>
              </w:rPr>
            </w:pPr>
            <w:r>
              <w:rPr>
                <w:rFonts w:ascii="Times New Roman" w:cs="Times New Roman" w:eastAsia="Times New Roman" w:hAnsi="Times New Roman"/>
                <w:sz w:val="13"/>
                <w:szCs w:val="13"/>
                <w:color w:val="auto"/>
              </w:rPr>
              <w:t>Class A Common Stock, par value $0.10 per share</w:t>
            </w:r>
          </w:p>
        </w:tc>
        <w:tc>
          <w:tcPr>
            <w:tcW w:w="1440" w:type="dxa"/>
            <w:vAlign w:val="bottom"/>
          </w:tcPr>
          <w:p>
            <w:pPr>
              <w:spacing w:after="0"/>
              <w:rPr>
                <w:sz w:val="16"/>
                <w:szCs w:val="16"/>
                <w:color w:val="auto"/>
              </w:rPr>
            </w:pPr>
          </w:p>
        </w:tc>
        <w:tc>
          <w:tcPr>
            <w:tcW w:w="2120" w:type="dxa"/>
            <w:vAlign w:val="bottom"/>
            <w:gridSpan w:val="2"/>
          </w:tcPr>
          <w:p>
            <w:pPr>
              <w:jc w:val="center"/>
              <w:ind w:right="1260"/>
              <w:spacing w:after="0"/>
              <w:rPr>
                <w:sz w:val="20"/>
                <w:szCs w:val="20"/>
                <w:color w:val="auto"/>
              </w:rPr>
            </w:pPr>
            <w:r>
              <w:rPr>
                <w:rFonts w:ascii="Times New Roman" w:cs="Times New Roman" w:eastAsia="Times New Roman" w:hAnsi="Times New Roman"/>
                <w:sz w:val="13"/>
                <w:szCs w:val="13"/>
                <w:color w:val="auto"/>
              </w:rPr>
              <w:t>LEU</w:t>
            </w:r>
          </w:p>
        </w:tc>
        <w:tc>
          <w:tcPr>
            <w:tcW w:w="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NYSE American</w:t>
            </w:r>
          </w:p>
        </w:tc>
      </w:tr>
    </w:tbl>
    <w:p>
      <w:pPr>
        <w:spacing w:after="0" w:line="261" w:lineRule="exact"/>
        <w:rPr>
          <w:sz w:val="24"/>
          <w:szCs w:val="24"/>
          <w:color w:val="auto"/>
        </w:rPr>
      </w:pPr>
    </w:p>
    <w:p>
      <w:pPr>
        <w:ind w:right="40" w:firstLine="255"/>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0" w:firstLine="255"/>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0" w:firstLine="255"/>
        <w:spacing w:after="0" w:line="28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00" w:top="1084" w:right="339" w:bottom="1440" w:gutter="0" w:footer="0" w:header="0"/>
        </w:sectPr>
      </w:pPr>
    </w:p>
    <w:p>
      <w:pPr>
        <w:spacing w:after="0" w:line="52" w:lineRule="exact"/>
        <w:rPr>
          <w:sz w:val="24"/>
          <w:szCs w:val="24"/>
          <w:color w:val="auto"/>
        </w:rPr>
      </w:pPr>
    </w:p>
    <w:p>
      <w:pPr>
        <w:ind w:left="20" w:right="560"/>
        <w:spacing w:after="0" w:line="328" w:lineRule="auto"/>
        <w:rPr>
          <w:sz w:val="20"/>
          <w:szCs w:val="20"/>
          <w:color w:val="auto"/>
        </w:rPr>
      </w:pPr>
      <w:r>
        <w:rPr>
          <w:rFonts w:ascii="Times New Roman" w:cs="Times New Roman" w:eastAsia="Times New Roman" w:hAnsi="Times New Roman"/>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9" w:lineRule="exact"/>
        <w:rPr>
          <w:sz w:val="24"/>
          <w:szCs w:val="24"/>
          <w:color w:val="auto"/>
        </w:rPr>
      </w:pPr>
    </w:p>
    <w:p>
      <w:pPr>
        <w:sectPr>
          <w:pgSz w:w="11900" w:h="16838" w:orient="portrait"/>
          <w:cols w:equalWidth="0" w:num="6">
            <w:col w:w="2040" w:space="720"/>
            <w:col w:w="120" w:space="680"/>
            <w:col w:w="2040" w:space="720"/>
            <w:col w:w="120" w:space="700"/>
            <w:col w:w="2020" w:space="720"/>
            <w:col w:w="1380"/>
          </w:cols>
          <w:pgMar w:left="300" w:top="1084" w:right="339" w:bottom="1440" w:gutter="0" w:footer="0" w:header="0"/>
          <w:type w:val="continuous"/>
        </w:sectPr>
      </w:pPr>
    </w:p>
    <w:p>
      <w:pPr>
        <w:spacing w:after="0" w:line="7" w:lineRule="exact"/>
        <w:rPr>
          <w:sz w:val="24"/>
          <w:szCs w:val="24"/>
          <w:color w:val="auto"/>
        </w:rPr>
      </w:pPr>
    </w:p>
    <w:p>
      <w:pPr>
        <w:ind w:firstLine="255"/>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260"/>
        <w:spacing w:after="0" w:line="150" w:lineRule="exact"/>
        <w:tabs>
          <w:tab w:leader="none" w:pos="690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5" w:lineRule="exact"/>
        <w:rPr>
          <w:sz w:val="24"/>
          <w:szCs w:val="24"/>
          <w:color w:val="auto"/>
        </w:rPr>
      </w:pPr>
    </w:p>
    <w:p>
      <w:pPr>
        <w:ind w:right="80" w:firstLine="255"/>
        <w:spacing w:after="0" w:line="271" w:lineRule="auto"/>
        <w:rPr>
          <w:sz w:val="20"/>
          <w:szCs w:val="20"/>
          <w:color w:val="auto"/>
        </w:rPr>
      </w:pPr>
      <w:r>
        <w:rPr>
          <w:rFonts w:ascii="Times New Roman" w:cs="Times New Roman" w:eastAsia="Times New Roman" w:hAnsi="Times New Roman"/>
          <w:sz w:val="13"/>
          <w:szCs w:val="13"/>
          <w:color w:val="auto"/>
        </w:rPr>
        <w:t>As of October 25, 2024, there were 15,677,224 shares of the registrant’s Class A Common Stock, par value $0.10 per share, and 719,200 shares of the registrant’s Class B Common Stock, par value $0.10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873125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367030</wp:posOffset>
            </wp:positionV>
            <wp:extent cx="708914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3335"/>
                    </a:xfrm>
                    <a:prstGeom prst="rect">
                      <a:avLst/>
                    </a:prstGeom>
                    <a:noFill/>
                  </pic:spPr>
                </pic:pic>
              </a:graphicData>
            </a:graphic>
          </wp:anchor>
        </w:drawing>
      </w:r>
    </w:p>
    <w:p>
      <w:pPr>
        <w:sectPr>
          <w:pgSz w:w="11900" w:h="16838" w:orient="portrait"/>
          <w:cols w:equalWidth="0" w:num="1">
            <w:col w:w="11260"/>
          </w:cols>
          <w:pgMar w:left="300" w:top="108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80" w:type="dxa"/>
            <w:vAlign w:val="bottom"/>
            <w:gridSpan w:val="7"/>
          </w:tcPr>
          <w:p>
            <w:pPr>
              <w:ind w:left="7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80" w:type="dxa"/>
            <w:vAlign w:val="bottom"/>
            <w:gridSpan w:val="7"/>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tc>
        <w:tc>
          <w:tcPr>
            <w:tcW w:w="9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80" w:type="dxa"/>
            <w:vAlign w:val="bottom"/>
            <w:gridSpan w:val="7"/>
            <w:vMerge w:val="continue"/>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1.</w:t>
            </w:r>
          </w:p>
        </w:tc>
        <w:tc>
          <w:tcPr>
            <w:tcW w:w="380" w:type="dxa"/>
            <w:vAlign w:val="bottom"/>
            <w:shd w:val="clear" w:color="auto" w:fill="CCEEFF"/>
          </w:tcPr>
          <w:p>
            <w:pPr>
              <w:spacing w:after="0"/>
              <w:rPr>
                <w:sz w:val="13"/>
                <w:szCs w:val="13"/>
                <w:color w:val="auto"/>
              </w:rPr>
            </w:pPr>
          </w:p>
        </w:tc>
        <w:tc>
          <w:tcPr>
            <w:tcW w:w="9480" w:type="dxa"/>
            <w:vAlign w:val="bottom"/>
            <w:gridSpan w:val="12"/>
            <w:shd w:val="clear" w:color="auto" w:fill="CCEEFF"/>
          </w:tcPr>
          <w:p>
            <w:pPr>
              <w:ind w:left="380"/>
              <w:spacing w:after="0" w:line="159" w:lineRule="exact"/>
              <w:rPr>
                <w:sz w:val="20"/>
                <w:szCs w:val="20"/>
                <w:color w:val="auto"/>
              </w:rPr>
            </w:pPr>
            <w:r>
              <w:rPr>
                <w:rFonts w:ascii="Times New Roman" w:cs="Times New Roman" w:eastAsia="Times New Roman" w:hAnsi="Times New Roman"/>
                <w:sz w:val="16"/>
                <w:szCs w:val="16"/>
                <w:color w:val="0000FF"/>
              </w:rPr>
              <w:t>Financial Statements (Unaudited):</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0" w:type="dxa"/>
            <w:vAlign w:val="bottom"/>
            <w:gridSpan w:val="10"/>
          </w:tcPr>
          <w:p>
            <w:pPr>
              <w:spacing w:after="0" w:line="159" w:lineRule="exact"/>
              <w:rPr>
                <w:sz w:val="20"/>
                <w:szCs w:val="20"/>
                <w:color w:val="auto"/>
              </w:rPr>
            </w:pPr>
            <w:r>
              <w:rPr>
                <w:rFonts w:ascii="Times New Roman" w:cs="Times New Roman" w:eastAsia="Times New Roman" w:hAnsi="Times New Roman"/>
                <w:sz w:val="16"/>
                <w:szCs w:val="16"/>
                <w:color w:val="0000FF"/>
              </w:rPr>
              <w:t>Consolidated Balance Sheets at September 30, 2024 and December 31, 2023</w:t>
            </w:r>
          </w:p>
        </w:tc>
        <w:tc>
          <w:tcPr>
            <w:tcW w:w="560" w:type="dxa"/>
            <w:vAlign w:val="bottom"/>
            <w:gridSpan w:val="4"/>
          </w:tcPr>
          <w:p>
            <w:pPr>
              <w:jc w:val="center"/>
              <w:ind w:left="322"/>
              <w:spacing w:after="0" w:line="159" w:lineRule="exact"/>
              <w:rPr>
                <w:sz w:val="20"/>
                <w:szCs w:val="20"/>
                <w:color w:val="auto"/>
              </w:rPr>
            </w:pPr>
            <w:r>
              <w:rPr>
                <w:rFonts w:ascii="Times New Roman" w:cs="Times New Roman" w:eastAsia="Times New Roman" w:hAnsi="Times New Roman"/>
                <w:sz w:val="16"/>
                <w:szCs w:val="16"/>
                <w:color w:val="0000FF"/>
                <w:w w:val="99"/>
              </w:rPr>
              <w:t>9</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520" w:type="dxa"/>
            <w:vAlign w:val="bottom"/>
            <w:tcBorders>
              <w:bottom w:val="single" w:sz="8" w:color="0000FF"/>
            </w:tcBorders>
            <w:gridSpan w:val="9"/>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6"/>
              </w:rPr>
              <w:t>Consolidated Statements of Operations and Comprehensive Income for the Three and Nine Months Ended September 30, 2024 and 2023</w:t>
            </w:r>
          </w:p>
        </w:tc>
        <w:tc>
          <w:tcPr>
            <w:tcW w:w="4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10</w:t>
            </w:r>
          </w:p>
        </w:tc>
        <w:tc>
          <w:tcPr>
            <w:tcW w:w="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0" w:type="dxa"/>
            <w:vAlign w:val="bottom"/>
            <w:gridSpan w:val="10"/>
          </w:tcPr>
          <w:p>
            <w:pPr>
              <w:spacing w:after="0" w:line="159" w:lineRule="exact"/>
              <w:rPr>
                <w:sz w:val="20"/>
                <w:szCs w:val="20"/>
                <w:color w:val="auto"/>
              </w:rPr>
            </w:pPr>
            <w:r>
              <w:rPr>
                <w:rFonts w:ascii="Times New Roman" w:cs="Times New Roman" w:eastAsia="Times New Roman" w:hAnsi="Times New Roman"/>
                <w:sz w:val="16"/>
                <w:szCs w:val="16"/>
                <w:color w:val="0000FF"/>
              </w:rPr>
              <w:t>Consolidated Statements of Cash Flows for the Nine Months Ended September 30, 2024 and 2023</w:t>
            </w:r>
          </w:p>
        </w:tc>
        <w:tc>
          <w:tcPr>
            <w:tcW w:w="560" w:type="dxa"/>
            <w:vAlign w:val="bottom"/>
            <w:gridSpan w:val="4"/>
          </w:tcPr>
          <w:p>
            <w:pPr>
              <w:jc w:val="center"/>
              <w:ind w:left="322"/>
              <w:spacing w:after="0" w:line="159" w:lineRule="exact"/>
              <w:rPr>
                <w:sz w:val="20"/>
                <w:szCs w:val="20"/>
                <w:color w:val="auto"/>
              </w:rPr>
            </w:pPr>
            <w:r>
              <w:rPr>
                <w:rFonts w:ascii="Times New Roman" w:cs="Times New Roman" w:eastAsia="Times New Roman" w:hAnsi="Times New Roman"/>
                <w:sz w:val="16"/>
                <w:szCs w:val="16"/>
                <w:color w:val="0000FF"/>
                <w:w w:val="99"/>
              </w:rPr>
              <w:t>11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940" w:type="dxa"/>
            <w:vAlign w:val="bottom"/>
            <w:tcBorders>
              <w:bottom w:val="single" w:sz="8" w:color="0000FF"/>
            </w:tcBorders>
            <w:gridSpan w:val="8"/>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6"/>
              </w:rPr>
              <w:t>Consolidated Statements of Stockholders’ Equity (Deficit) for the Three and Nine Months Ended September 30, 2024 and 2023</w:t>
            </w:r>
          </w:p>
        </w:tc>
        <w:tc>
          <w:tcPr>
            <w:tcW w:w="1060" w:type="dxa"/>
            <w:vAlign w:val="bottom"/>
            <w:tcBorders>
              <w:bottom w:val="single" w:sz="8" w:color="CCEEFF"/>
            </w:tcBorders>
            <w:gridSpan w:val="2"/>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gridSpan w:val="3"/>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12</w:t>
            </w:r>
          </w:p>
        </w:tc>
        <w:tc>
          <w:tcPr>
            <w:tcW w:w="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0" w:type="dxa"/>
            <w:vAlign w:val="bottom"/>
            <w:gridSpan w:val="10"/>
          </w:tcPr>
          <w:p>
            <w:pPr>
              <w:spacing w:after="0" w:line="159" w:lineRule="exact"/>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960" w:type="dxa"/>
            <w:vAlign w:val="bottom"/>
            <w:gridSpan w:val="5"/>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2.</w:t>
            </w:r>
          </w:p>
        </w:tc>
        <w:tc>
          <w:tcPr>
            <w:tcW w:w="380" w:type="dxa"/>
            <w:vAlign w:val="bottom"/>
            <w:shd w:val="clear" w:color="auto" w:fill="CCEEFF"/>
          </w:tcPr>
          <w:p>
            <w:pPr>
              <w:spacing w:after="0"/>
              <w:rPr>
                <w:sz w:val="13"/>
                <w:szCs w:val="13"/>
                <w:color w:val="auto"/>
              </w:rPr>
            </w:pPr>
          </w:p>
        </w:tc>
        <w:tc>
          <w:tcPr>
            <w:tcW w:w="9480" w:type="dxa"/>
            <w:vAlign w:val="bottom"/>
            <w:gridSpan w:val="12"/>
            <w:shd w:val="clear" w:color="auto" w:fill="CCEEFF"/>
          </w:tcPr>
          <w:p>
            <w:pPr>
              <w:ind w:left="380"/>
              <w:spacing w:after="0" w:line="159"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960" w:type="dxa"/>
            <w:vAlign w:val="bottom"/>
            <w:gridSpan w:val="5"/>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31</w:t>
            </w: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0000FF"/>
                <w:w w:val="92"/>
              </w:rPr>
              <w:t>Item 3.</w:t>
            </w:r>
          </w:p>
        </w:tc>
        <w:tc>
          <w:tcPr>
            <w:tcW w:w="380" w:type="dxa"/>
            <w:vAlign w:val="bottom"/>
          </w:tcPr>
          <w:p>
            <w:pPr>
              <w:spacing w:after="0"/>
              <w:rPr>
                <w:sz w:val="13"/>
                <w:szCs w:val="13"/>
                <w:color w:val="auto"/>
              </w:rPr>
            </w:pPr>
          </w:p>
        </w:tc>
        <w:tc>
          <w:tcPr>
            <w:tcW w:w="9480" w:type="dxa"/>
            <w:vAlign w:val="bottom"/>
            <w:gridSpan w:val="12"/>
          </w:tcPr>
          <w:p>
            <w:pPr>
              <w:ind w:left="380"/>
              <w:spacing w:after="0" w:line="159"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960" w:type="dxa"/>
            <w:vAlign w:val="bottom"/>
            <w:gridSpan w:val="5"/>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53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Item 4.</w:t>
            </w:r>
          </w:p>
        </w:tc>
        <w:tc>
          <w:tcPr>
            <w:tcW w:w="9480" w:type="dxa"/>
            <w:vAlign w:val="bottom"/>
            <w:gridSpan w:val="12"/>
            <w:shd w:val="clear" w:color="auto" w:fill="CCEEFF"/>
          </w:tcPr>
          <w:p>
            <w:pPr>
              <w:ind w:left="380"/>
              <w:spacing w:after="0" w:line="159" w:lineRule="exact"/>
              <w:rPr>
                <w:sz w:val="20"/>
                <w:szCs w:val="20"/>
                <w:color w:val="auto"/>
              </w:rPr>
            </w:pPr>
            <w:r>
              <w:rPr>
                <w:rFonts w:ascii="Times New Roman" w:cs="Times New Roman" w:eastAsia="Times New Roman" w:hAnsi="Times New Roman"/>
                <w:sz w:val="16"/>
                <w:szCs w:val="16"/>
                <w:color w:val="0000FF"/>
              </w:rPr>
              <w:t>Controls and Procedures</w:t>
            </w:r>
          </w:p>
        </w:tc>
        <w:tc>
          <w:tcPr>
            <w:tcW w:w="960" w:type="dxa"/>
            <w:vAlign w:val="bottom"/>
            <w:gridSpan w:val="5"/>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54</w:t>
            </w: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8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tc>
      </w:tr>
      <w:tr>
        <w:trPr>
          <w:trHeight w:val="159"/>
        </w:trPr>
        <w:tc>
          <w:tcPr>
            <w:tcW w:w="20" w:type="dxa"/>
            <w:vAlign w:val="bottom"/>
          </w:tcPr>
          <w:p>
            <w:pPr>
              <w:spacing w:after="0"/>
              <w:rPr>
                <w:sz w:val="13"/>
                <w:szCs w:val="13"/>
                <w:color w:val="auto"/>
              </w:rPr>
            </w:pPr>
          </w:p>
        </w:tc>
        <w:tc>
          <w:tcPr>
            <w:tcW w:w="92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0000FF"/>
              </w:rPr>
              <w:t>Item 1.</w:t>
            </w:r>
          </w:p>
        </w:tc>
        <w:tc>
          <w:tcPr>
            <w:tcW w:w="2500" w:type="dxa"/>
            <w:vAlign w:val="bottom"/>
            <w:gridSpan w:val="6"/>
          </w:tcPr>
          <w:p>
            <w:pPr>
              <w:ind w:left="280"/>
              <w:spacing w:after="0" w:line="159" w:lineRule="exact"/>
              <w:rPr>
                <w:sz w:val="20"/>
                <w:szCs w:val="20"/>
                <w:color w:val="auto"/>
              </w:rPr>
            </w:pPr>
            <w:r>
              <w:rPr>
                <w:rFonts w:ascii="Times New Roman" w:cs="Times New Roman" w:eastAsia="Times New Roman" w:hAnsi="Times New Roman"/>
                <w:sz w:val="16"/>
                <w:szCs w:val="16"/>
                <w:color w:val="0000FF"/>
              </w:rPr>
              <w:t>Legal Proceedings</w:t>
            </w:r>
          </w:p>
        </w:tc>
        <w:tc>
          <w:tcPr>
            <w:tcW w:w="7840" w:type="dxa"/>
            <w:vAlign w:val="bottom"/>
            <w:gridSpan w:val="3"/>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55</w:t>
            </w:r>
          </w:p>
        </w:tc>
      </w:tr>
      <w:tr>
        <w:trPr>
          <w:trHeight w:val="22"/>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4"/>
              </w:rPr>
              <w:t>Item 1A.</w:t>
            </w:r>
          </w:p>
        </w:tc>
        <w:tc>
          <w:tcPr>
            <w:tcW w:w="360" w:type="dxa"/>
            <w:vAlign w:val="bottom"/>
            <w:gridSpan w:val="2"/>
            <w:shd w:val="clear" w:color="auto" w:fill="CCEEFF"/>
          </w:tcPr>
          <w:p>
            <w:pPr>
              <w:spacing w:after="0"/>
              <w:rPr>
                <w:sz w:val="13"/>
                <w:szCs w:val="13"/>
                <w:color w:val="auto"/>
              </w:rPr>
            </w:pPr>
          </w:p>
        </w:tc>
        <w:tc>
          <w:tcPr>
            <w:tcW w:w="2500" w:type="dxa"/>
            <w:vAlign w:val="bottom"/>
            <w:gridSpan w:val="6"/>
            <w:shd w:val="clear" w:color="auto" w:fill="CCEEFF"/>
          </w:tcPr>
          <w:p>
            <w:pPr>
              <w:ind w:left="280"/>
              <w:spacing w:after="0" w:line="159" w:lineRule="exact"/>
              <w:rPr>
                <w:sz w:val="20"/>
                <w:szCs w:val="20"/>
                <w:color w:val="auto"/>
              </w:rPr>
            </w:pPr>
            <w:r>
              <w:rPr>
                <w:rFonts w:ascii="Times New Roman" w:cs="Times New Roman" w:eastAsia="Times New Roman" w:hAnsi="Times New Roman"/>
                <w:sz w:val="16"/>
                <w:szCs w:val="16"/>
                <w:color w:val="0000FF"/>
              </w:rPr>
              <w:t>Risk Factors</w:t>
            </w:r>
          </w:p>
        </w:tc>
        <w:tc>
          <w:tcPr>
            <w:tcW w:w="7840" w:type="dxa"/>
            <w:vAlign w:val="bottom"/>
            <w:gridSpan w:val="3"/>
            <w:shd w:val="clear" w:color="auto" w:fill="CCEEFF"/>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55</w:t>
            </w: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56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color w:val="0000FF"/>
              </w:rPr>
              <w:t>Item 5.</w:t>
            </w:r>
          </w:p>
        </w:tc>
        <w:tc>
          <w:tcPr>
            <w:tcW w:w="360" w:type="dxa"/>
            <w:vAlign w:val="bottom"/>
            <w:gridSpan w:val="2"/>
          </w:tcPr>
          <w:p>
            <w:pPr>
              <w:spacing w:after="0"/>
              <w:rPr>
                <w:sz w:val="13"/>
                <w:szCs w:val="13"/>
                <w:color w:val="auto"/>
              </w:rPr>
            </w:pPr>
          </w:p>
        </w:tc>
        <w:tc>
          <w:tcPr>
            <w:tcW w:w="2500" w:type="dxa"/>
            <w:vAlign w:val="bottom"/>
            <w:gridSpan w:val="6"/>
          </w:tcPr>
          <w:p>
            <w:pPr>
              <w:ind w:left="280"/>
              <w:spacing w:after="0" w:line="159" w:lineRule="exact"/>
              <w:rPr>
                <w:sz w:val="20"/>
                <w:szCs w:val="20"/>
                <w:color w:val="auto"/>
              </w:rPr>
            </w:pPr>
            <w:r>
              <w:rPr>
                <w:rFonts w:ascii="Times New Roman" w:cs="Times New Roman" w:eastAsia="Times New Roman" w:hAnsi="Times New Roman"/>
                <w:sz w:val="16"/>
                <w:szCs w:val="16"/>
                <w:color w:val="0000FF"/>
              </w:rPr>
              <w:t>Other Information</w:t>
            </w:r>
          </w:p>
        </w:tc>
        <w:tc>
          <w:tcPr>
            <w:tcW w:w="7840" w:type="dxa"/>
            <w:vAlign w:val="bottom"/>
            <w:gridSpan w:val="3"/>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55</w:t>
            </w:r>
          </w:p>
        </w:tc>
      </w:tr>
      <w:tr>
        <w:trPr>
          <w:trHeight w:val="22"/>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6.</w:t>
            </w:r>
          </w:p>
        </w:tc>
        <w:tc>
          <w:tcPr>
            <w:tcW w:w="480" w:type="dxa"/>
            <w:vAlign w:val="bottom"/>
            <w:gridSpan w:val="3"/>
            <w:shd w:val="clear" w:color="auto" w:fill="CCEEFF"/>
          </w:tcPr>
          <w:p>
            <w:pPr>
              <w:spacing w:after="0"/>
              <w:rPr>
                <w:sz w:val="13"/>
                <w:szCs w:val="13"/>
                <w:color w:val="auto"/>
              </w:rPr>
            </w:pPr>
          </w:p>
        </w:tc>
        <w:tc>
          <w:tcPr>
            <w:tcW w:w="2500" w:type="dxa"/>
            <w:vAlign w:val="bottom"/>
            <w:gridSpan w:val="6"/>
            <w:shd w:val="clear" w:color="auto" w:fill="CCEEFF"/>
          </w:tcPr>
          <w:p>
            <w:pPr>
              <w:ind w:left="280"/>
              <w:spacing w:after="0" w:line="159" w:lineRule="exact"/>
              <w:rPr>
                <w:sz w:val="20"/>
                <w:szCs w:val="20"/>
                <w:color w:val="auto"/>
              </w:rPr>
            </w:pPr>
            <w:r>
              <w:rPr>
                <w:rFonts w:ascii="Times New Roman" w:cs="Times New Roman" w:eastAsia="Times New Roman" w:hAnsi="Times New Roman"/>
                <w:sz w:val="16"/>
                <w:szCs w:val="16"/>
                <w:color w:val="0000FF"/>
              </w:rPr>
              <w:t>Exhibits</w:t>
            </w:r>
          </w:p>
        </w:tc>
        <w:tc>
          <w:tcPr>
            <w:tcW w:w="7840" w:type="dxa"/>
            <w:vAlign w:val="bottom"/>
            <w:gridSpan w:val="3"/>
            <w:shd w:val="clear" w:color="auto" w:fill="CCEEFF"/>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56</w:t>
            </w: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0000FF"/>
              </w:rPr>
              <w:t>Signatures</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40" w:type="dxa"/>
            <w:vAlign w:val="bottom"/>
            <w:gridSpan w:val="3"/>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57</w:t>
            </w:r>
          </w:p>
        </w:tc>
      </w:tr>
      <w:tr>
        <w:trPr>
          <w:trHeight w:val="924"/>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tcPr>
          <w:p>
            <w:pPr>
              <w:jc w:val="right"/>
              <w:ind w:right="4963"/>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7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20" w:type="dxa"/>
            <w:vAlign w:val="bottom"/>
            <w:gridSpan w:val="2"/>
          </w:tcPr>
          <w:p>
            <w:pPr>
              <w:ind w:left="1080"/>
              <w:spacing w:after="0"/>
              <w:rPr>
                <w:sz w:val="20"/>
                <w:szCs w:val="20"/>
                <w:color w:val="auto"/>
              </w:rPr>
            </w:pPr>
            <w:r>
              <w:rPr>
                <w:rFonts w:ascii="Times New Roman" w:cs="Times New Roman" w:eastAsia="Times New Roman" w:hAnsi="Times New Roman"/>
                <w:sz w:val="16"/>
                <w:szCs w:val="16"/>
                <w:b w:val="1"/>
                <w:bCs w:val="1"/>
                <w:color w:val="auto"/>
              </w:rPr>
              <w:t>Glossary of Certain Terms and Abbreviations</w:t>
            </w:r>
          </w:p>
        </w:tc>
      </w:tr>
      <w:tr>
        <w:trPr>
          <w:trHeight w:val="368"/>
        </w:trPr>
        <w:tc>
          <w:tcPr>
            <w:tcW w:w="2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Centrus Energy Corp. and Related Entities</w:t>
            </w:r>
          </w:p>
        </w:tc>
        <w:tc>
          <w:tcPr>
            <w:tcW w:w="7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2"/>
        </w:trPr>
        <w:tc>
          <w:tcPr>
            <w:tcW w:w="20" w:type="dxa"/>
            <w:vAlign w:val="bottom"/>
            <w:shd w:val="clear" w:color="auto" w:fill="CCEEFF"/>
          </w:tcPr>
          <w:p>
            <w:pPr>
              <w:spacing w:after="0"/>
              <w:rPr>
                <w:sz w:val="16"/>
                <w:szCs w:val="16"/>
                <w:color w:val="auto"/>
              </w:rPr>
            </w:pPr>
          </w:p>
        </w:tc>
        <w:tc>
          <w:tcPr>
            <w:tcW w:w="2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ACO</w:t>
            </w:r>
          </w:p>
        </w:tc>
        <w:tc>
          <w:tcPr>
            <w:tcW w:w="440" w:type="dxa"/>
            <w:vAlign w:val="bottom"/>
            <w:shd w:val="clear" w:color="auto" w:fill="CCEEFF"/>
          </w:tcPr>
          <w:p>
            <w:pPr>
              <w:spacing w:after="0"/>
              <w:rPr>
                <w:sz w:val="16"/>
                <w:szCs w:val="16"/>
                <w:color w:val="auto"/>
              </w:rPr>
            </w:pP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American Centrifuge Operating LLC, a subsidiary of Centrus</w:t>
            </w:r>
          </w:p>
        </w:tc>
        <w:tc>
          <w:tcPr>
            <w:tcW w:w="7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Board</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Centrus Energy Corp.’s Board of Directors</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Centrus</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Centrus Energy Corp.</w:t>
            </w:r>
          </w:p>
        </w:tc>
        <w:tc>
          <w:tcPr>
            <w:tcW w:w="7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Enrichment Corp.</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United States Enrichment Corporation, a subsidiary of Centrus</w:t>
            </w:r>
          </w:p>
        </w:tc>
        <w:tc>
          <w:tcPr>
            <w:tcW w:w="740" w:type="dxa"/>
            <w:vAlign w:val="bottom"/>
          </w:tcPr>
          <w:p>
            <w:pPr>
              <w:spacing w:after="0"/>
              <w:rPr>
                <w:sz w:val="15"/>
                <w:szCs w:val="15"/>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Paducah GDP</w:t>
            </w: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Paducah Gaseous Diffusion Plant, an enrichment plant in Paducah, Kentucky, formerly operated by Enrichment Corp.</w:t>
            </w:r>
          </w:p>
        </w:tc>
        <w:tc>
          <w:tcPr>
            <w:tcW w:w="7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Piketon</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Production facility in Piketon, Ohio</w:t>
            </w:r>
          </w:p>
        </w:tc>
        <w:tc>
          <w:tcPr>
            <w:tcW w:w="740" w:type="dxa"/>
            <w:vAlign w:val="bottom"/>
          </w:tcPr>
          <w:p>
            <w:pPr>
              <w:spacing w:after="0"/>
              <w:rPr>
                <w:sz w:val="15"/>
                <w:szCs w:val="15"/>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Portsmouth GDP</w:t>
            </w: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Portsmouth Gaseous Diffusion Plant, an enrichment plant near Portsmouth, Ohio, formerly operated by Enrichment Corp.</w:t>
            </w:r>
          </w:p>
        </w:tc>
        <w:tc>
          <w:tcPr>
            <w:tcW w:w="74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USEC-Government</w:t>
            </w: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Enrichment Corp. prior to 1993, when it was a wholly-owned government corporation</w:t>
            </w:r>
          </w:p>
        </w:tc>
      </w:tr>
      <w:tr>
        <w:trPr>
          <w:trHeight w:val="303"/>
        </w:trPr>
        <w:tc>
          <w:tcPr>
            <w:tcW w:w="2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Other Terms and Abbreviations</w:t>
            </w:r>
          </w:p>
        </w:tc>
        <w:tc>
          <w:tcPr>
            <w:tcW w:w="7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2002 DOE-USEC Agreement</w:t>
            </w:r>
          </w:p>
        </w:tc>
        <w:tc>
          <w:tcPr>
            <w:tcW w:w="1120" w:type="dxa"/>
            <w:vAlign w:val="bottom"/>
            <w:tcBorders>
              <w:bottom w:val="single" w:sz="8" w:color="CCEEFF"/>
            </w:tcBorders>
            <w:gridSpan w:val="2"/>
            <w:shd w:val="clear" w:color="auto" w:fill="CCEEFF"/>
          </w:tcPr>
          <w:p>
            <w:pPr>
              <w:spacing w:after="0"/>
              <w:rPr>
                <w:sz w:val="17"/>
                <w:szCs w:val="17"/>
                <w:color w:val="auto"/>
              </w:rPr>
            </w:pP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June 17, 2002 agreement between Centrus (then known as USEC Inc.) and the DOE</w:t>
            </w:r>
          </w:p>
        </w:tc>
        <w:tc>
          <w:tcPr>
            <w:tcW w:w="74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5B Cylinders</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Storage cylinders for HALEU UF</w:t>
            </w:r>
            <w:r>
              <w:rPr>
                <w:rFonts w:ascii="Times New Roman" w:cs="Times New Roman" w:eastAsia="Times New Roman" w:hAnsi="Times New Roman"/>
                <w:sz w:val="9"/>
                <w:szCs w:val="9"/>
                <w:color w:val="auto"/>
              </w:rPr>
              <w:t>6</w:t>
            </w:r>
            <w:r>
              <w:rPr>
                <w:rFonts w:ascii="Times New Roman" w:cs="Times New Roman" w:eastAsia="Times New Roman" w:hAnsi="Times New Roman"/>
                <w:sz w:val="14"/>
                <w:szCs w:val="14"/>
                <w:color w:val="auto"/>
              </w:rPr>
              <w:t xml:space="preserve"> produced by the cascade</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8.25% Notes</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8.25% Notes, maturing February 2027</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American Centrifuge</w:t>
            </w: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Advanced uranium enrichment gas centrifuge technology previously developed, based on the proven workable U.S.</w:t>
            </w:r>
          </w:p>
        </w:tc>
      </w:tr>
      <w:tr>
        <w:trPr>
          <w:trHeight w:val="184"/>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centrifuge technology developed by DOE in the mid-1980s and utilized in a demonstration facility in 2012-2013</w:t>
            </w:r>
          </w:p>
        </w:tc>
      </w:tr>
      <w:tr>
        <w:trPr>
          <w:trHeight w:val="22"/>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American Centrifuge Plant</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Refers to a demonstration facility in Piketon, Ohio where USEC planned to install a lead cascade of centrifuge machines to</w:t>
            </w:r>
          </w:p>
        </w:tc>
        <w:tc>
          <w:tcPr>
            <w:tcW w:w="740" w:type="dxa"/>
            <w:vAlign w:val="bottom"/>
          </w:tcPr>
          <w:p>
            <w:pPr>
              <w:spacing w:after="0"/>
              <w:rPr>
                <w:sz w:val="15"/>
                <w:szCs w:val="15"/>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demonstrate the American Centrifuge technology under the terms of the 2002 DOE-USEC Agreement</w:t>
            </w:r>
          </w:p>
        </w:tc>
        <w:tc>
          <w:tcPr>
            <w:tcW w:w="7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ARDP</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DOE’s Advanced Reactor Demonstration Program</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ATM</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At the Market</w:t>
            </w:r>
          </w:p>
        </w:tc>
        <w:tc>
          <w:tcPr>
            <w:tcW w:w="7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Class A Common Stock</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Class A common stock, $0.10 par value per share</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Common Stock</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Class B common stock, $0.10 par value per share</w:t>
            </w:r>
          </w:p>
        </w:tc>
        <w:tc>
          <w:tcPr>
            <w:tcW w:w="7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Class A Common Stock and Class B Common Stock</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D&amp;D</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Decontamination &amp; Decommissioning</w:t>
            </w:r>
          </w:p>
        </w:tc>
        <w:tc>
          <w:tcPr>
            <w:tcW w:w="7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DOC</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U.S. Department of Commerce</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DOE</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U.S. Department of Energy</w:t>
            </w:r>
          </w:p>
        </w:tc>
        <w:tc>
          <w:tcPr>
            <w:tcW w:w="7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EU</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European Union</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Act</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Securities Exchange Act of 1934, as amended</w:t>
            </w:r>
          </w:p>
        </w:tc>
        <w:tc>
          <w:tcPr>
            <w:tcW w:w="7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HALEU</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High Assay Low-Enriched Uranium</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HALEU Demonstration Contract</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Three-year, $115 million cost-share contract with DOE signed in 2019 by Centrus’ subsidiary, ACO</w:t>
            </w:r>
          </w:p>
        </w:tc>
        <w:tc>
          <w:tcPr>
            <w:tcW w:w="7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HALEU Operation Contract</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HALEU production contract with DOE signed in 2022</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IEA</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International Energy Agency</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Import Ban Act</w:t>
            </w: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The “Prohibiting Russian Uranium Imports Act” enacted in May 2024 that bans imports of LEU from Russia into the U.S.,</w:t>
            </w:r>
          </w:p>
        </w:tc>
      </w:tr>
      <w:tr>
        <w:trPr>
          <w:trHeight w:val="184"/>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effective August 11, 2024, subject to issuance of waivers by the DOE</w:t>
            </w:r>
          </w:p>
        </w:tc>
      </w:tr>
      <w:tr>
        <w:trPr>
          <w:trHeight w:val="22"/>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LEU</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Low-Enriched Uranium; term is also used to refer to the Centrus Energy Corp. business segment which supplies</w:t>
            </w:r>
          </w:p>
        </w:tc>
        <w:tc>
          <w:tcPr>
            <w:tcW w:w="740" w:type="dxa"/>
            <w:vAlign w:val="bottom"/>
          </w:tcPr>
          <w:p>
            <w:pPr>
              <w:spacing w:after="0"/>
              <w:rPr>
                <w:sz w:val="15"/>
                <w:szCs w:val="15"/>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commercial customers with various components of nuclear fuel</w:t>
            </w:r>
          </w:p>
        </w:tc>
        <w:tc>
          <w:tcPr>
            <w:tcW w:w="740" w:type="dxa"/>
            <w:vAlign w:val="bottom"/>
          </w:tcPr>
          <w:p>
            <w:pPr>
              <w:spacing w:after="0"/>
              <w:rPr>
                <w:sz w:val="16"/>
                <w:szCs w:val="16"/>
                <w:color w:val="auto"/>
              </w:rPr>
            </w:pPr>
          </w:p>
        </w:tc>
      </w:tr>
      <w:tr>
        <w:trPr>
          <w:trHeight w:val="700"/>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80" w:type="dxa"/>
            <w:vAlign w:val="bottom"/>
          </w:tcPr>
          <w:p>
            <w:pPr>
              <w:ind w:left="2540"/>
              <w:spacing w:after="0"/>
              <w:rPr>
                <w:sz w:val="20"/>
                <w:szCs w:val="20"/>
                <w:color w:val="auto"/>
              </w:rPr>
            </w:pPr>
            <w:r>
              <w:rPr>
                <w:rFonts w:ascii="Times New Roman" w:cs="Times New Roman" w:eastAsia="Times New Roman" w:hAnsi="Times New Roman"/>
                <w:sz w:val="14"/>
                <w:szCs w:val="14"/>
                <w:color w:val="auto"/>
              </w:rPr>
              <w:t>3</w:t>
            </w:r>
          </w:p>
        </w:tc>
        <w:tc>
          <w:tcPr>
            <w:tcW w:w="7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4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Uranium</w:t>
            </w:r>
          </w:p>
        </w:tc>
        <w:tc>
          <w:tcPr>
            <w:tcW w:w="88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Raw material needed to produce LEU and HALEU</w:t>
            </w:r>
          </w:p>
        </w:tc>
      </w:tr>
      <w:tr>
        <w:trPr>
          <w:trHeight w:val="18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NOL</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Operating Loss</w:t>
            </w:r>
          </w:p>
        </w:tc>
        <w:tc>
          <w:tcPr>
            <w:tcW w:w="740" w:type="dxa"/>
            <w:vAlign w:val="bottom"/>
          </w:tcPr>
          <w:p>
            <w:pPr>
              <w:spacing w:after="0"/>
              <w:rPr>
                <w:sz w:val="15"/>
                <w:szCs w:val="15"/>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NRC</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U.S. Nuclear Regulatory Commission</w:t>
            </w:r>
          </w:p>
        </w:tc>
        <w:tc>
          <w:tcPr>
            <w:tcW w:w="740" w:type="dxa"/>
            <w:vAlign w:val="bottom"/>
          </w:tcPr>
          <w:p>
            <w:pPr>
              <w:spacing w:after="0"/>
              <w:rPr>
                <w:sz w:val="15"/>
                <w:szCs w:val="15"/>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NUBIL</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unrealized built-in loss</w:t>
            </w:r>
          </w:p>
        </w:tc>
        <w:tc>
          <w:tcPr>
            <w:tcW w:w="740" w:type="dxa"/>
            <w:vAlign w:val="bottom"/>
          </w:tcPr>
          <w:p>
            <w:pPr>
              <w:spacing w:after="0"/>
              <w:rPr>
                <w:sz w:val="15"/>
                <w:szCs w:val="15"/>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Orano</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Orano Cycle</w:t>
            </w:r>
          </w:p>
        </w:tc>
        <w:tc>
          <w:tcPr>
            <w:tcW w:w="740" w:type="dxa"/>
            <w:vAlign w:val="bottom"/>
          </w:tcPr>
          <w:p>
            <w:pPr>
              <w:spacing w:after="0"/>
              <w:rPr>
                <w:sz w:val="15"/>
                <w:szCs w:val="15"/>
                <w:color w:val="auto"/>
              </w:rPr>
            </w:pPr>
          </w:p>
        </w:tc>
      </w:tr>
      <w:tr>
        <w:trPr>
          <w:trHeight w:val="192"/>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Orano Supply Agreement</w:t>
            </w:r>
          </w:p>
        </w:tc>
        <w:tc>
          <w:tcPr>
            <w:tcW w:w="80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Long-term supply of SWU contained in LEU, signed by Enrichment Corp. with Orano in 2018</w:t>
            </w:r>
          </w:p>
        </w:tc>
        <w:tc>
          <w:tcPr>
            <w:tcW w:w="740" w:type="dxa"/>
            <w:vAlign w:val="bottom"/>
          </w:tcPr>
          <w:p>
            <w:pPr>
              <w:spacing w:after="0"/>
              <w:rPr>
                <w:sz w:val="16"/>
                <w:szCs w:val="16"/>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Power MOU</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Memorandum of understanding between the DOE and USEC-Government</w:t>
            </w:r>
          </w:p>
        </w:tc>
        <w:tc>
          <w:tcPr>
            <w:tcW w:w="740" w:type="dxa"/>
            <w:vAlign w:val="bottom"/>
          </w:tcPr>
          <w:p>
            <w:pPr>
              <w:spacing w:after="0"/>
              <w:rPr>
                <w:sz w:val="15"/>
                <w:szCs w:val="15"/>
                <w:color w:val="auto"/>
              </w:rPr>
            </w:pPr>
          </w:p>
        </w:tc>
      </w:tr>
      <w:tr>
        <w:trPr>
          <w:trHeight w:val="192"/>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Price-Anderson Act</w:t>
            </w:r>
          </w:p>
        </w:tc>
        <w:tc>
          <w:tcPr>
            <w:tcW w:w="80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Price-Anderson Nuclear Industries Indemnity Act (Section 170 of the U.S. Atomic Energy Act of 1954, as amended)</w:t>
            </w:r>
          </w:p>
        </w:tc>
        <w:tc>
          <w:tcPr>
            <w:tcW w:w="740" w:type="dxa"/>
            <w:vAlign w:val="bottom"/>
          </w:tcPr>
          <w:p>
            <w:pPr>
              <w:spacing w:after="0"/>
              <w:rPr>
                <w:sz w:val="16"/>
                <w:szCs w:val="16"/>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RFP</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Request for Proposal</w:t>
            </w:r>
          </w:p>
        </w:tc>
        <w:tc>
          <w:tcPr>
            <w:tcW w:w="740" w:type="dxa"/>
            <w:vAlign w:val="bottom"/>
          </w:tcPr>
          <w:p>
            <w:pPr>
              <w:spacing w:after="0"/>
              <w:rPr>
                <w:sz w:val="15"/>
                <w:szCs w:val="15"/>
                <w:color w:val="auto"/>
              </w:rPr>
            </w:pPr>
          </w:p>
        </w:tc>
      </w:tr>
      <w:tr>
        <w:trPr>
          <w:trHeight w:val="17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Rights Agreement</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Section 382 Rights Agreement, dated as of April 6, 2016, by and among the Company and Computershare Trust Company,</w:t>
            </w:r>
          </w:p>
        </w:tc>
        <w:tc>
          <w:tcPr>
            <w:tcW w:w="740" w:type="dxa"/>
            <w:vAlign w:val="bottom"/>
          </w:tcPr>
          <w:p>
            <w:pPr>
              <w:spacing w:after="0"/>
              <w:rPr>
                <w:sz w:val="15"/>
                <w:szCs w:val="15"/>
                <w:color w:val="auto"/>
              </w:rPr>
            </w:pPr>
          </w:p>
        </w:tc>
      </w:tr>
      <w:tr>
        <w:trPr>
          <w:trHeight w:val="186"/>
        </w:trPr>
        <w:tc>
          <w:tcPr>
            <w:tcW w:w="2480" w:type="dxa"/>
            <w:vAlign w:val="bottom"/>
            <w:tcBorders>
              <w:bottom w:val="single" w:sz="8" w:color="CCEEFF"/>
            </w:tcBorders>
            <w:shd w:val="clear" w:color="auto" w:fill="CCEEFF"/>
          </w:tcPr>
          <w:p>
            <w:pPr>
              <w:spacing w:after="0"/>
              <w:rPr>
                <w:sz w:val="16"/>
                <w:szCs w:val="16"/>
                <w:color w:val="auto"/>
              </w:rPr>
            </w:pPr>
          </w:p>
        </w:tc>
        <w:tc>
          <w:tcPr>
            <w:tcW w:w="80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N.A. and Computershare Inc., as rights agent, as amended</w:t>
            </w:r>
          </w:p>
        </w:tc>
        <w:tc>
          <w:tcPr>
            <w:tcW w:w="740" w:type="dxa"/>
            <w:vAlign w:val="bottom"/>
          </w:tcPr>
          <w:p>
            <w:pPr>
              <w:spacing w:after="0"/>
              <w:rPr>
                <w:sz w:val="16"/>
                <w:szCs w:val="16"/>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Rosatom</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Russian State Atomic Energy Corporation</w:t>
            </w:r>
          </w:p>
        </w:tc>
        <w:tc>
          <w:tcPr>
            <w:tcW w:w="740" w:type="dxa"/>
            <w:vAlign w:val="bottom"/>
          </w:tcPr>
          <w:p>
            <w:pPr>
              <w:spacing w:after="0"/>
              <w:rPr>
                <w:sz w:val="15"/>
                <w:szCs w:val="15"/>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RSA</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1992 Russian Suspension Agreement, as amended</w:t>
            </w:r>
          </w:p>
        </w:tc>
        <w:tc>
          <w:tcPr>
            <w:tcW w:w="740" w:type="dxa"/>
            <w:vAlign w:val="bottom"/>
          </w:tcPr>
          <w:p>
            <w:pPr>
              <w:spacing w:after="0"/>
              <w:rPr>
                <w:sz w:val="15"/>
                <w:szCs w:val="15"/>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Stock appreciation rights</w:t>
            </w:r>
          </w:p>
        </w:tc>
        <w:tc>
          <w:tcPr>
            <w:tcW w:w="740" w:type="dxa"/>
            <w:vAlign w:val="bottom"/>
          </w:tcPr>
          <w:p>
            <w:pPr>
              <w:spacing w:after="0"/>
              <w:rPr>
                <w:sz w:val="15"/>
                <w:szCs w:val="15"/>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U.S. Securities &amp; Exchange Commission</w:t>
            </w:r>
          </w:p>
        </w:tc>
        <w:tc>
          <w:tcPr>
            <w:tcW w:w="740" w:type="dxa"/>
            <w:vAlign w:val="bottom"/>
          </w:tcPr>
          <w:p>
            <w:pPr>
              <w:spacing w:after="0"/>
              <w:rPr>
                <w:sz w:val="15"/>
                <w:szCs w:val="15"/>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SWU</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Separative work unit</w:t>
            </w:r>
          </w:p>
        </w:tc>
        <w:tc>
          <w:tcPr>
            <w:tcW w:w="740" w:type="dxa"/>
            <w:vAlign w:val="bottom"/>
          </w:tcPr>
          <w:p>
            <w:pPr>
              <w:spacing w:after="0"/>
              <w:rPr>
                <w:sz w:val="15"/>
                <w:szCs w:val="15"/>
                <w:color w:val="auto"/>
              </w:rPr>
            </w:pPr>
          </w:p>
        </w:tc>
      </w:tr>
      <w:tr>
        <w:trPr>
          <w:trHeight w:val="17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Technical Solutions</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The Centrus business segment which offers technical, manufacturing, engineering, and operations services to public and</w:t>
            </w:r>
          </w:p>
        </w:tc>
        <w:tc>
          <w:tcPr>
            <w:tcW w:w="740" w:type="dxa"/>
            <w:vAlign w:val="bottom"/>
          </w:tcPr>
          <w:p>
            <w:pPr>
              <w:spacing w:after="0"/>
              <w:rPr>
                <w:sz w:val="15"/>
                <w:szCs w:val="15"/>
                <w:color w:val="auto"/>
              </w:rPr>
            </w:pPr>
          </w:p>
        </w:tc>
      </w:tr>
      <w:tr>
        <w:trPr>
          <w:trHeight w:val="186"/>
        </w:trPr>
        <w:tc>
          <w:tcPr>
            <w:tcW w:w="2480" w:type="dxa"/>
            <w:vAlign w:val="bottom"/>
            <w:tcBorders>
              <w:bottom w:val="single" w:sz="8" w:color="CCEEFF"/>
            </w:tcBorders>
            <w:shd w:val="clear" w:color="auto" w:fill="CCEEFF"/>
          </w:tcPr>
          <w:p>
            <w:pPr>
              <w:spacing w:after="0"/>
              <w:rPr>
                <w:sz w:val="16"/>
                <w:szCs w:val="16"/>
                <w:color w:val="auto"/>
              </w:rPr>
            </w:pPr>
          </w:p>
        </w:tc>
        <w:tc>
          <w:tcPr>
            <w:tcW w:w="80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private sector customers</w:t>
            </w:r>
          </w:p>
        </w:tc>
        <w:tc>
          <w:tcPr>
            <w:tcW w:w="740" w:type="dxa"/>
            <w:vAlign w:val="bottom"/>
          </w:tcPr>
          <w:p>
            <w:pPr>
              <w:spacing w:after="0"/>
              <w:rPr>
                <w:sz w:val="16"/>
                <w:szCs w:val="16"/>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TENEX</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Russian government-owned entity TENEX, Joint-Stock Company</w:t>
            </w:r>
          </w:p>
        </w:tc>
        <w:tc>
          <w:tcPr>
            <w:tcW w:w="740" w:type="dxa"/>
            <w:vAlign w:val="bottom"/>
          </w:tcPr>
          <w:p>
            <w:pPr>
              <w:spacing w:after="0"/>
              <w:rPr>
                <w:sz w:val="15"/>
                <w:szCs w:val="15"/>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TENEX Supply Contract</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Agreement with TENEX through 2028</w:t>
            </w:r>
          </w:p>
        </w:tc>
        <w:tc>
          <w:tcPr>
            <w:tcW w:w="740" w:type="dxa"/>
            <w:vAlign w:val="bottom"/>
          </w:tcPr>
          <w:p>
            <w:pPr>
              <w:spacing w:after="0"/>
              <w:rPr>
                <w:sz w:val="15"/>
                <w:szCs w:val="15"/>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GAAP</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tc>
        <w:tc>
          <w:tcPr>
            <w:tcW w:w="740" w:type="dxa"/>
            <w:vAlign w:val="bottom"/>
          </w:tcPr>
          <w:p>
            <w:pPr>
              <w:spacing w:after="0"/>
              <w:rPr>
                <w:sz w:val="15"/>
                <w:szCs w:val="15"/>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O</w:t>
            </w:r>
            <w:r>
              <w:rPr>
                <w:rFonts w:ascii="Times New Roman" w:cs="Times New Roman" w:eastAsia="Times New Roman" w:hAnsi="Times New Roman"/>
                <w:sz w:val="9"/>
                <w:szCs w:val="9"/>
                <w:color w:val="auto"/>
              </w:rPr>
              <w:t>8</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Uranium oxide, aka “yellowcake”</w:t>
            </w:r>
          </w:p>
        </w:tc>
        <w:tc>
          <w:tcPr>
            <w:tcW w:w="740" w:type="dxa"/>
            <w:vAlign w:val="bottom"/>
          </w:tcPr>
          <w:p>
            <w:pPr>
              <w:spacing w:after="0"/>
              <w:rPr>
                <w:sz w:val="15"/>
                <w:szCs w:val="15"/>
                <w:color w:val="auto"/>
              </w:rPr>
            </w:pPr>
          </w:p>
        </w:tc>
      </w:tr>
      <w:tr>
        <w:trPr>
          <w:trHeight w:val="180"/>
        </w:trPr>
        <w:tc>
          <w:tcPr>
            <w:tcW w:w="24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UF</w:t>
            </w:r>
            <w:r>
              <w:rPr>
                <w:rFonts w:ascii="Times New Roman" w:cs="Times New Roman" w:eastAsia="Times New Roman" w:hAnsi="Times New Roman"/>
                <w:sz w:val="18"/>
                <w:szCs w:val="18"/>
                <w:color w:val="auto"/>
                <w:vertAlign w:val="subscript"/>
              </w:rPr>
              <w:t>6</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Uranium hexafluoride</w:t>
            </w:r>
          </w:p>
        </w:tc>
        <w:tc>
          <w:tcPr>
            <w:tcW w:w="740" w:type="dxa"/>
            <w:vAlign w:val="bottom"/>
          </w:tcPr>
          <w:p>
            <w:pPr>
              <w:spacing w:after="0"/>
              <w:rPr>
                <w:sz w:val="15"/>
                <w:szCs w:val="15"/>
                <w:color w:val="auto"/>
              </w:rPr>
            </w:pPr>
          </w:p>
        </w:tc>
      </w:tr>
      <w:tr>
        <w:trPr>
          <w:trHeight w:val="17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Warrant to purchase common stock of Centrus, exercised in December 2023 by Kulayba LLC and dated February 2, 2021</w:t>
            </w:r>
          </w:p>
        </w:tc>
        <w:tc>
          <w:tcPr>
            <w:tcW w:w="740" w:type="dxa"/>
            <w:vAlign w:val="bottom"/>
          </w:tcPr>
          <w:p>
            <w:pPr>
              <w:spacing w:after="0"/>
              <w:rPr>
                <w:sz w:val="15"/>
                <w:szCs w:val="15"/>
                <w:color w:val="auto"/>
              </w:rPr>
            </w:pPr>
          </w:p>
        </w:tc>
      </w:tr>
      <w:tr>
        <w:trPr>
          <w:trHeight w:val="186"/>
        </w:trPr>
        <w:tc>
          <w:tcPr>
            <w:tcW w:w="2480" w:type="dxa"/>
            <w:vAlign w:val="bottom"/>
            <w:tcBorders>
              <w:bottom w:val="single" w:sz="8" w:color="CCEEFF"/>
            </w:tcBorders>
            <w:shd w:val="clear" w:color="auto" w:fill="CCEEFF"/>
          </w:tcPr>
          <w:p>
            <w:pPr>
              <w:spacing w:after="0"/>
              <w:rPr>
                <w:sz w:val="16"/>
                <w:szCs w:val="16"/>
                <w:color w:val="auto"/>
              </w:rPr>
            </w:pPr>
          </w:p>
        </w:tc>
        <w:tc>
          <w:tcPr>
            <w:tcW w:w="80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and amended December 29, 2022</w:t>
            </w:r>
          </w:p>
        </w:tc>
        <w:tc>
          <w:tcPr>
            <w:tcW w:w="740" w:type="dxa"/>
            <w:vAlign w:val="bottom"/>
          </w:tcPr>
          <w:p>
            <w:pPr>
              <w:spacing w:after="0"/>
              <w:rPr>
                <w:sz w:val="16"/>
                <w:szCs w:val="16"/>
                <w:color w:val="auto"/>
              </w:rPr>
            </w:pPr>
          </w:p>
        </w:tc>
      </w:tr>
      <w:tr>
        <w:trPr>
          <w:trHeight w:val="184"/>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WNA</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World Nuclear Association</w:t>
            </w:r>
          </w:p>
        </w:tc>
        <w:tc>
          <w:tcPr>
            <w:tcW w:w="740" w:type="dxa"/>
            <w:vAlign w:val="bottom"/>
          </w:tcPr>
          <w:p>
            <w:pPr>
              <w:spacing w:after="0"/>
              <w:rPr>
                <w:sz w:val="16"/>
                <w:szCs w:val="16"/>
                <w:color w:val="auto"/>
              </w:rPr>
            </w:pPr>
          </w:p>
        </w:tc>
      </w:tr>
      <w:tr>
        <w:trPr>
          <w:trHeight w:val="707"/>
        </w:trPr>
        <w:tc>
          <w:tcPr>
            <w:tcW w:w="2480" w:type="dxa"/>
            <w:vAlign w:val="bottom"/>
          </w:tcPr>
          <w:p>
            <w:pPr>
              <w:spacing w:after="0"/>
              <w:rPr>
                <w:sz w:val="24"/>
                <w:szCs w:val="24"/>
                <w:color w:val="auto"/>
              </w:rPr>
            </w:pPr>
          </w:p>
        </w:tc>
        <w:tc>
          <w:tcPr>
            <w:tcW w:w="806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4</w:t>
            </w:r>
          </w:p>
        </w:tc>
        <w:tc>
          <w:tcPr>
            <w:tcW w:w="740" w:type="dxa"/>
            <w:vAlign w:val="bottom"/>
          </w:tcPr>
          <w:p>
            <w:pPr>
              <w:spacing w:after="0"/>
              <w:rPr>
                <w:sz w:val="24"/>
                <w:szCs w:val="24"/>
                <w:color w:val="auto"/>
              </w:rPr>
            </w:pPr>
          </w:p>
        </w:tc>
      </w:tr>
      <w:tr>
        <w:trPr>
          <w:trHeight w:val="87"/>
        </w:trPr>
        <w:tc>
          <w:tcPr>
            <w:tcW w:w="2480" w:type="dxa"/>
            <w:vAlign w:val="bottom"/>
            <w:tcBorders>
              <w:bottom w:val="single" w:sz="8" w:color="9A9A9A"/>
            </w:tcBorders>
          </w:tcPr>
          <w:p>
            <w:pPr>
              <w:spacing w:after="0"/>
              <w:rPr>
                <w:sz w:val="7"/>
                <w:szCs w:val="7"/>
                <w:color w:val="auto"/>
              </w:rPr>
            </w:pPr>
          </w:p>
        </w:tc>
        <w:tc>
          <w:tcPr>
            <w:tcW w:w="80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4" w:name="page5"/>
    <w:bookmarkEnd w:id="4"/>
    <w:p>
      <w:pPr>
        <w:ind w:left="430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CAUTIONARY STATEMENTS REGARDING FORWARD-LOOKING INFORMATION</w:t>
      </w:r>
    </w:p>
    <w:p>
      <w:pPr>
        <w:spacing w:after="0" w:line="176" w:lineRule="exact"/>
        <w:rPr>
          <w:sz w:val="20"/>
          <w:szCs w:val="20"/>
          <w:color w:val="auto"/>
        </w:rPr>
      </w:pPr>
    </w:p>
    <w:p>
      <w:pPr>
        <w:ind w:right="80" w:firstLine="509"/>
        <w:spacing w:after="0" w:line="290" w:lineRule="auto"/>
        <w:rPr>
          <w:sz w:val="20"/>
          <w:szCs w:val="20"/>
          <w:color w:val="auto"/>
        </w:rPr>
      </w:pPr>
      <w:r>
        <w:rPr>
          <w:rFonts w:ascii="Times New Roman" w:cs="Times New Roman" w:eastAsia="Times New Roman" w:hAnsi="Times New Roman"/>
          <w:sz w:val="14"/>
          <w:szCs w:val="14"/>
          <w:color w:val="auto"/>
        </w:rPr>
        <w:t>This Quarterly Report on Form 10-Q of Centrus (the “Company,” “we” or “us”) contains “forward-looking statements” within the meaning of Section 21E of the Exchange Act of 1934,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Quarterly Report on Form 10-Q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w:t>
      </w:r>
    </w:p>
    <w:p>
      <w:pPr>
        <w:spacing w:after="0" w:line="148" w:lineRule="exact"/>
        <w:rPr>
          <w:sz w:val="20"/>
          <w:szCs w:val="20"/>
          <w:color w:val="auto"/>
        </w:rPr>
      </w:pPr>
    </w:p>
    <w:p>
      <w:pPr>
        <w:ind w:firstLine="509"/>
        <w:spacing w:after="0" w:line="292" w:lineRule="auto"/>
        <w:rPr>
          <w:sz w:val="20"/>
          <w:szCs w:val="20"/>
          <w:color w:val="auto"/>
        </w:rPr>
      </w:pPr>
      <w:r>
        <w:rPr>
          <w:rFonts w:ascii="Times New Roman" w:cs="Times New Roman" w:eastAsia="Times New Roman" w:hAnsi="Times New Roman"/>
          <w:sz w:val="14"/>
          <w:szCs w:val="14"/>
          <w:color w:val="auto"/>
        </w:rPr>
        <w:t xml:space="preserve">The factors that could cause actual results to differ materially from the forward-looking statements made by us include those factors discussed herein, including those factors discussed in (a) Part I, Item 1. </w:t>
      </w:r>
      <w:r>
        <w:rPr>
          <w:rFonts w:ascii="Times New Roman" w:cs="Times New Roman" w:eastAsia="Times New Roman" w:hAnsi="Times New Roman"/>
          <w:sz w:val="14"/>
          <w:szCs w:val="14"/>
          <w:i w:val="1"/>
          <w:iCs w:val="1"/>
          <w:color w:val="auto"/>
        </w:rPr>
        <w:t>Financial Statements (Unaudited)</w:t>
      </w:r>
      <w:r>
        <w:rPr>
          <w:rFonts w:ascii="Times New Roman" w:cs="Times New Roman" w:eastAsia="Times New Roman" w:hAnsi="Times New Roman"/>
          <w:sz w:val="14"/>
          <w:szCs w:val="14"/>
          <w:color w:val="auto"/>
        </w:rPr>
        <w:t xml:space="preserve">: Note 12,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(b) Part I, Item 2. </w:t>
      </w:r>
      <w:r>
        <w:rPr>
          <w:rFonts w:ascii="Times New Roman" w:cs="Times New Roman" w:eastAsia="Times New Roman" w:hAnsi="Times New Roman"/>
          <w:sz w:val="14"/>
          <w:szCs w:val="14"/>
          <w:i w:val="1"/>
          <w:iCs w:val="1"/>
          <w:color w:val="auto"/>
        </w:rPr>
        <w:t>Management’s Discussion and Analysis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Condition and Results of Operations, </w:t>
      </w:r>
      <w:r>
        <w:rPr>
          <w:rFonts w:ascii="Times New Roman" w:cs="Times New Roman" w:eastAsia="Times New Roman" w:hAnsi="Times New Roman"/>
          <w:sz w:val="14"/>
          <w:szCs w:val="14"/>
          <w:color w:val="auto"/>
        </w:rPr>
        <w:t>(c) Part II, Item 1A.</w:t>
      </w:r>
      <w:r>
        <w:rPr>
          <w:rFonts w:ascii="Times New Roman" w:cs="Times New Roman" w:eastAsia="Times New Roman" w:hAnsi="Times New Roman"/>
          <w:sz w:val="14"/>
          <w:szCs w:val="14"/>
          <w:i w:val="1"/>
          <w:iCs w:val="1"/>
          <w:color w:val="auto"/>
        </w:rPr>
        <w:t xml:space="preserve"> Risk Factors</w:t>
      </w:r>
      <w:r>
        <w:rPr>
          <w:rFonts w:ascii="Times New Roman" w:cs="Times New Roman" w:eastAsia="Times New Roman" w:hAnsi="Times New Roman"/>
          <w:sz w:val="14"/>
          <w:szCs w:val="14"/>
          <w:color w:val="auto"/>
        </w:rPr>
        <w:t>, and (d) other factors discussed in the Company’s filings with the SEC. Readers are cautioned not to place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undue reliance on these forward-looking statements, which apply only as of the date of this Quarterly Report. The Company does not undertake any obligation to publicly release any revision to its forward-looking statements to reflect events or circumstances that may arise after the date of this Quarterly Report on Form 10-Q unless required by law.</w:t>
      </w:r>
    </w:p>
    <w:p>
      <w:pPr>
        <w:spacing w:after="0" w:line="145"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6"/>
          <w:szCs w:val="16"/>
          <w:color w:val="auto"/>
        </w:rPr>
        <w:t>For Centrus, particular risks and uncertainties (hereinafter “risks”) that could cause our actual future results to differ materially from those expressed in our forward-looking statements and which are, and may be, exacerbated by any worsening of the global business and economic environment include but are not limited to the following:</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Risks related to the war in Ukraine </w:t>
      </w:r>
      <w:r>
        <w:rPr>
          <w:rFonts w:ascii="Times New Roman" w:cs="Times New Roman" w:eastAsia="Times New Roman" w:hAnsi="Times New Roman"/>
          <w:sz w:val="16"/>
          <w:szCs w:val="16"/>
          <w:color w:val="auto"/>
        </w:rPr>
        <w:t>primarily include:</w:t>
      </w:r>
    </w:p>
    <w:p>
      <w:pPr>
        <w:spacing w:after="0" w:line="21" w:lineRule="exact"/>
        <w:rPr>
          <w:sz w:val="20"/>
          <w:szCs w:val="20"/>
          <w:color w:val="auto"/>
        </w:rPr>
      </w:pPr>
    </w:p>
    <w:p>
      <w:pPr>
        <w:ind w:left="640" w:right="20" w:hanging="253"/>
        <w:spacing w:after="0" w:line="242" w:lineRule="auto"/>
        <w:tabs>
          <w:tab w:leader="none" w:pos="6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war and geopolitical conflicts and the imposition of sanctions or other measures, including bans or tariffs, by (i) the U.S. or foreign governments and institutions such as the EU, (ii) organizations (including the United Nations or other international organizations), or (iii) entities (including private entities or persons), that could directly or indirectly impact our ability to obtain, deliver, transport or sell LEU or the SWU and natural uranium hexafluoride components of LEU delivered to us under the TENEX Supply Contract or make related payments or deliveries of natural uranium hexafluoride to TENEX;</w:t>
      </w:r>
    </w:p>
    <w:p>
      <w:pPr>
        <w:spacing w:after="0" w:line="31" w:lineRule="exact"/>
        <w:rPr>
          <w:rFonts w:ascii="Times New Roman" w:cs="Times New Roman" w:eastAsia="Times New Roman" w:hAnsi="Times New Roman"/>
          <w:sz w:val="16"/>
          <w:szCs w:val="16"/>
          <w:color w:val="auto"/>
        </w:rPr>
      </w:pPr>
    </w:p>
    <w:p>
      <w:pPr>
        <w:ind w:left="640" w:right="140" w:hanging="253"/>
        <w:spacing w:after="0" w:line="259" w:lineRule="auto"/>
        <w:tabs>
          <w:tab w:leader="none" w:pos="6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laws that ban (i) imports of Russian LEU into the United States, including the Import Ban Act, or (ii) transactions with Rosatom or its subsidiaries, which includes TENEX;</w:t>
      </w:r>
    </w:p>
    <w:p>
      <w:pPr>
        <w:spacing w:after="0" w:line="16" w:lineRule="exact"/>
        <w:rPr>
          <w:rFonts w:ascii="Times New Roman" w:cs="Times New Roman" w:eastAsia="Times New Roman" w:hAnsi="Times New Roman"/>
          <w:sz w:val="16"/>
          <w:szCs w:val="16"/>
          <w:color w:val="auto"/>
        </w:rPr>
      </w:pPr>
    </w:p>
    <w:p>
      <w:pPr>
        <w:ind w:left="640" w:right="80" w:hanging="253"/>
        <w:spacing w:after="0" w:line="269" w:lineRule="auto"/>
        <w:tabs>
          <w:tab w:leader="none" w:pos="6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potential inability to secure additional waivers or other exceptions from the ban or sanction in a timely manner or at all in order to allow us to continue importing Russian LEU under the TENEX Supply Contract or otherwise doing business with TENEX or implementing the TENEX Supply Contract;</w:t>
      </w:r>
    </w:p>
    <w:p>
      <w:pPr>
        <w:spacing w:after="0" w:line="1" w:lineRule="exact"/>
        <w:rPr>
          <w:rFonts w:ascii="Times New Roman" w:cs="Times New Roman" w:eastAsia="Times New Roman" w:hAnsi="Times New Roman"/>
          <w:sz w:val="16"/>
          <w:szCs w:val="16"/>
          <w:color w:val="auto"/>
        </w:rPr>
      </w:pPr>
    </w:p>
    <w:p>
      <w:pPr>
        <w:ind w:left="640" w:right="80" w:hanging="253"/>
        <w:spacing w:after="0" w:line="252" w:lineRule="auto"/>
        <w:tabs>
          <w:tab w:leader="none" w:pos="6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TENEX’s refusal or inability to deliver LEU to us for any reason including (i) U.S. or foreign government sanctions or bans are imposed on LEU from Russia or on TENEX, (ii) TENEX is unable or unwilling to deliver LEU, receive payments, receive the return of natural uranium hexafluoride, or conduct other activities related to the TENEX Supply Contract, or (iii) TENEX elects, or is directed (including by its owner or the Russian government), to limit or stop transactions with us or with the United States or other countries; and</w:t>
      </w:r>
    </w:p>
    <w:p>
      <w:pPr>
        <w:spacing w:after="0" w:line="22" w:lineRule="exact"/>
        <w:rPr>
          <w:rFonts w:ascii="Times New Roman" w:cs="Times New Roman" w:eastAsia="Times New Roman" w:hAnsi="Times New Roman"/>
          <w:sz w:val="16"/>
          <w:szCs w:val="16"/>
          <w:color w:val="auto"/>
        </w:rPr>
      </w:pPr>
    </w:p>
    <w:p>
      <w:pPr>
        <w:ind w:left="640" w:right="140" w:hanging="253"/>
        <w:spacing w:after="0" w:line="259" w:lineRule="auto"/>
        <w:tabs>
          <w:tab w:leader="none" w:pos="6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disputes with third parties, including contractual counterparties, that could result if we cannot receive, or otherwise are unable to receive timely deliveries of LEU under the TENEX Supply Contract.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 w:name="page6"/>
    <w:bookmarkEnd w:id="5"/>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Risks related to economic and industry factors </w:t>
      </w:r>
      <w:r>
        <w:rPr>
          <w:rFonts w:ascii="Times New Roman" w:cs="Times New Roman" w:eastAsia="Times New Roman" w:hAnsi="Times New Roman"/>
          <w:sz w:val="16"/>
          <w:szCs w:val="16"/>
          <w:color w:val="auto"/>
        </w:rPr>
        <w:t>primarily include:</w:t>
      </w:r>
    </w:p>
    <w:p>
      <w:pPr>
        <w:spacing w:after="0" w:line="21" w:lineRule="exact"/>
        <w:rPr>
          <w:sz w:val="20"/>
          <w:szCs w:val="20"/>
          <w:color w:val="auto"/>
        </w:rPr>
      </w:pPr>
    </w:p>
    <w:p>
      <w:pPr>
        <w:ind w:left="640" w:hanging="253"/>
        <w:spacing w:after="0" w:line="299" w:lineRule="auto"/>
        <w:tabs>
          <w:tab w:leader="none" w:pos="63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dependence on others, such as TENEX, under the TENEX Supply Contract, Orano, under the Orano Supply Agreement, and other suppliers (including, but not limited to, transporters) who provide, or deliver, us the goods and services we need to conduct our business and any resulting negative impact on our liquidity;</w:t>
      </w:r>
    </w:p>
    <w:p>
      <w:pPr>
        <w:spacing w:after="0" w:line="1" w:lineRule="exact"/>
        <w:rPr>
          <w:rFonts w:ascii="Times New Roman" w:cs="Times New Roman" w:eastAsia="Times New Roman" w:hAnsi="Times New Roman"/>
          <w:sz w:val="14"/>
          <w:szCs w:val="14"/>
          <w:color w:val="auto"/>
        </w:rPr>
      </w:pPr>
    </w:p>
    <w:p>
      <w:pPr>
        <w:ind w:left="640" w:right="280" w:hanging="253"/>
        <w:spacing w:after="0" w:line="254" w:lineRule="auto"/>
        <w:tabs>
          <w:tab w:leader="none" w:pos="6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ability to sell or deliver the LEU we procure pursuant to our purchase obligations under our supply agreements and the impacts of sanctions or limitations on imports of such LEU, including those imposed under the RSA, international trade legislation and other international trade restrictions or the Import Ban Act;</w:t>
      </w:r>
    </w:p>
    <w:p>
      <w:pPr>
        <w:spacing w:after="0" w:line="20" w:lineRule="exact"/>
        <w:rPr>
          <w:rFonts w:ascii="Times New Roman" w:cs="Times New Roman" w:eastAsia="Times New Roman" w:hAnsi="Times New Roman"/>
          <w:sz w:val="16"/>
          <w:szCs w:val="16"/>
          <w:color w:val="auto"/>
        </w:rPr>
      </w:pPr>
    </w:p>
    <w:p>
      <w:pPr>
        <w:ind w:left="640" w:right="320" w:hanging="253"/>
        <w:spacing w:after="0" w:line="259" w:lineRule="auto"/>
        <w:tabs>
          <w:tab w:leader="none" w:pos="6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increasing quantities of LEU being imported into the U.S. from China and the impact on our ability to make future LEU or SWU sales or ability to finance any build out of our enrichment capacities;</w:t>
      </w:r>
    </w:p>
    <w:p>
      <w:pPr>
        <w:spacing w:after="0" w:line="16"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whether or when government funding or demand for HALEU for government or commercial uses will materialize and at what level;</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regarding funding for continuation and deployment of the American Centrifuge technology;</w:t>
      </w:r>
    </w:p>
    <w:p>
      <w:pPr>
        <w:spacing w:after="0" w:line="49" w:lineRule="exact"/>
        <w:rPr>
          <w:rFonts w:ascii="Times New Roman" w:cs="Times New Roman" w:eastAsia="Times New Roman" w:hAnsi="Times New Roman"/>
          <w:sz w:val="16"/>
          <w:szCs w:val="16"/>
          <w:color w:val="auto"/>
        </w:rPr>
      </w:pPr>
    </w:p>
    <w:p>
      <w:pPr>
        <w:ind w:left="640" w:right="60" w:hanging="253"/>
        <w:spacing w:after="0" w:line="269" w:lineRule="auto"/>
        <w:tabs>
          <w:tab w:leader="none" w:pos="6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(i) our ability to perform and absorb costs under the HALEU Operation Contract, (ii) our ability to obtain new contracts and funding to be able to continue operations and (iii) our ability to obtain and/or perform under other agreements;</w:t>
      </w:r>
    </w:p>
    <w:p>
      <w:pPr>
        <w:spacing w:after="0" w:line="1" w:lineRule="exact"/>
        <w:rPr>
          <w:rFonts w:ascii="Times New Roman" w:cs="Times New Roman" w:eastAsia="Times New Roman" w:hAnsi="Times New Roman"/>
          <w:sz w:val="16"/>
          <w:szCs w:val="16"/>
          <w:color w:val="auto"/>
        </w:rPr>
      </w:pPr>
    </w:p>
    <w:p>
      <w:pPr>
        <w:jc w:val="both"/>
        <w:ind w:left="640" w:right="180" w:hanging="253"/>
        <w:spacing w:after="0" w:line="254" w:lineRule="auto"/>
        <w:tabs>
          <w:tab w:leader="none" w:pos="6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(i) we may not obtain the full benefit of the HALEU Operation Contract and may not be able or allowed to operate the HALEU enrichment facility to produce HALEU after the completion of the HALEU Operation Contract or (ii) the output from the HALEU enrichment facility may not be available to us as a future source of supply;</w:t>
      </w:r>
    </w:p>
    <w:p>
      <w:pPr>
        <w:spacing w:after="0" w:line="2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existing or new trade barriers and to contract terms that limit our ability to procure LEU for, or deliver LEU to, customers;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pricing trends and demand in the uranium and enrichment markets and their impact on our profitability;</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movement and timing of customer orders;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fact that we face significant competition from major LEU producers who may be less cost sensitive or are wholly or partially government owned;</w:t>
      </w:r>
    </w:p>
    <w:p>
      <w:pPr>
        <w:spacing w:after="0" w:line="38" w:lineRule="exact"/>
        <w:rPr>
          <w:rFonts w:ascii="Times New Roman" w:cs="Times New Roman" w:eastAsia="Times New Roman" w:hAnsi="Times New Roman"/>
          <w:sz w:val="16"/>
          <w:szCs w:val="16"/>
          <w:color w:val="auto"/>
        </w:rPr>
      </w:pPr>
    </w:p>
    <w:p>
      <w:pPr>
        <w:ind w:left="640" w:right="160" w:hanging="253"/>
        <w:spacing w:after="0" w:line="269" w:lineRule="auto"/>
        <w:tabs>
          <w:tab w:leader="none" w:pos="6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our ability to compete in foreign markets may be limited for various reasons, including policies that favor indigenous suppliers over foreign suppliers of goods and services;</w:t>
      </w:r>
    </w:p>
    <w:p>
      <w:pPr>
        <w:spacing w:after="0" w:line="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fact that our revenue is largely dependent on our largest customers;</w:t>
      </w:r>
    </w:p>
    <w:p>
      <w:pPr>
        <w:spacing w:after="0" w:line="49" w:lineRule="exact"/>
        <w:rPr>
          <w:rFonts w:ascii="Times New Roman" w:cs="Times New Roman" w:eastAsia="Times New Roman" w:hAnsi="Times New Roman"/>
          <w:sz w:val="16"/>
          <w:szCs w:val="16"/>
          <w:color w:val="auto"/>
        </w:rPr>
      </w:pPr>
    </w:p>
    <w:p>
      <w:pPr>
        <w:ind w:left="640" w:right="20" w:hanging="253"/>
        <w:spacing w:after="0" w:line="269" w:lineRule="auto"/>
        <w:tabs>
          <w:tab w:leader="none" w:pos="6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backlog, including uncertainty concerning customer actions under current contracts and in future contracting due to market conditions, global events or other factors, including our lack of current production capability;</w:t>
      </w:r>
    </w:p>
    <w:p>
      <w:pPr>
        <w:spacing w:after="0" w:line="1" w:lineRule="exact"/>
        <w:rPr>
          <w:rFonts w:ascii="Times New Roman" w:cs="Times New Roman" w:eastAsia="Times New Roman" w:hAnsi="Times New Roman"/>
          <w:sz w:val="16"/>
          <w:szCs w:val="16"/>
          <w:color w:val="auto"/>
        </w:rPr>
      </w:pPr>
    </w:p>
    <w:p>
      <w:pPr>
        <w:ind w:left="640" w:hanging="253"/>
        <w:spacing w:after="0" w:line="269" w:lineRule="auto"/>
        <w:tabs>
          <w:tab w:leader="none" w:pos="6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natural and other disasters, including the continued impact of the March 2011 earthquake and tsunami in Japan on the nuclear industry and on our business, results of operations and prospects;</w:t>
      </w:r>
    </w:p>
    <w:p>
      <w:pPr>
        <w:spacing w:after="0" w:line="1" w:lineRule="exact"/>
        <w:rPr>
          <w:rFonts w:ascii="Times New Roman" w:cs="Times New Roman" w:eastAsia="Times New Roman" w:hAnsi="Times New Roman"/>
          <w:sz w:val="16"/>
          <w:szCs w:val="16"/>
          <w:color w:val="auto"/>
        </w:rPr>
      </w:pPr>
    </w:p>
    <w:p>
      <w:pPr>
        <w:ind w:left="640" w:right="120" w:hanging="253"/>
        <w:spacing w:after="0" w:line="273" w:lineRule="auto"/>
        <w:tabs>
          <w:tab w:leader="none" w:pos="6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financial difficulties experienced by customers or suppliers, including possible bankruptcies, insolvencies, or any other situation, event or occurrence that affect the ability of others to pay for our products or services in a timely manner or at all;</w:t>
      </w:r>
    </w:p>
    <w:p>
      <w:pPr>
        <w:spacing w:after="0" w:line="5"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pandemics, endemics, and other health crises; and</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impact and potential extended duration of a supply/demand imbalance in the market for LEU.</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Risks related to operational factors </w:t>
      </w:r>
      <w:r>
        <w:rPr>
          <w:rFonts w:ascii="Times New Roman" w:cs="Times New Roman" w:eastAsia="Times New Roman" w:hAnsi="Times New Roman"/>
          <w:sz w:val="16"/>
          <w:szCs w:val="16"/>
          <w:color w:val="auto"/>
        </w:rPr>
        <w:t>primarily include:</w:t>
      </w:r>
    </w:p>
    <w:p>
      <w:pPr>
        <w:spacing w:after="0" w:line="16" w:lineRule="exact"/>
        <w:rPr>
          <w:sz w:val="20"/>
          <w:szCs w:val="20"/>
          <w:color w:val="auto"/>
        </w:rPr>
      </w:pPr>
    </w:p>
    <w:p>
      <w:pPr>
        <w:ind w:left="640" w:right="260" w:hanging="253"/>
        <w:spacing w:after="0" w:line="249" w:lineRule="auto"/>
        <w:tabs>
          <w:tab w:leader="none" w:pos="63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DOE not issuing any task orders to any awardee under any of the HALEU or Deconversion contracts or any task orders to the Company under either of those contracts;</w:t>
      </w:r>
    </w:p>
    <w:p>
      <w:pPr>
        <w:spacing w:after="0" w:line="24"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Company not winning a task order under the HALEU contract to expand its HALEU plant;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6" w:name="page7"/>
    <w:bookmarkEnd w:id="6"/>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DOE not providing adequate share of the appropriated funding;</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ability to secure financing to expand our plant;</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ability to increase capacity in a timely manner to meet market demand or our contractual obligations;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DOE not awarding any contracts to the Company in response to the Company’s remaining proposals;</w:t>
      </w:r>
    </w:p>
    <w:p>
      <w:pPr>
        <w:spacing w:after="0" w:line="38" w:lineRule="exact"/>
        <w:rPr>
          <w:rFonts w:ascii="Times New Roman" w:cs="Times New Roman" w:eastAsia="Times New Roman" w:hAnsi="Times New Roman"/>
          <w:sz w:val="16"/>
          <w:szCs w:val="16"/>
          <w:color w:val="auto"/>
        </w:rPr>
      </w:pPr>
    </w:p>
    <w:p>
      <w:pPr>
        <w:ind w:left="640" w:hanging="253"/>
        <w:spacing w:after="0" w:line="273" w:lineRule="auto"/>
        <w:tabs>
          <w:tab w:leader="none" w:pos="63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risks related to reliance on the only firm that has the necessary permits and capability to transport LEU from Russia to the United States and that firm’s ability to maintain those permits and capabilities or secure additional permits;</w:t>
      </w:r>
    </w:p>
    <w:p>
      <w:pPr>
        <w:spacing w:after="0" w:line="5" w:lineRule="exact"/>
        <w:rPr>
          <w:rFonts w:ascii="Times New Roman" w:cs="Times New Roman" w:eastAsia="Times New Roman" w:hAnsi="Times New Roman"/>
          <w:sz w:val="14"/>
          <w:szCs w:val="14"/>
          <w:color w:val="auto"/>
        </w:rPr>
      </w:pPr>
    </w:p>
    <w:p>
      <w:pPr>
        <w:ind w:left="640" w:right="560" w:hanging="253"/>
        <w:spacing w:after="0" w:line="259" w:lineRule="auto"/>
        <w:tabs>
          <w:tab w:leader="none" w:pos="6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a government shutdown or lack of funding that could result in program cancellations, disruptions and/or stop work orders and could limit the U.S. government’s ability to make timely payments, and our ability to perform our U.S. government contracts and successfully compete for work;</w:t>
      </w:r>
    </w:p>
    <w:p>
      <w:pPr>
        <w:spacing w:after="0" w:line="16"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to the U.S. government’s appropriated funding levels for HALEU Operation Contract due to the upcoming November elections or other reasons;</w:t>
      </w:r>
    </w:p>
    <w:p>
      <w:pPr>
        <w:spacing w:after="0" w:line="61"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uncertainty regarding our ability to commercially deploy competitive enrichment technology;</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potential for demobilization or termination of the HALEU Operation Contract;</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we will not be able to timely complete the work that we are obligated to perform;</w:t>
      </w:r>
    </w:p>
    <w:p>
      <w:pPr>
        <w:spacing w:after="0" w:line="38" w:lineRule="exact"/>
        <w:rPr>
          <w:rFonts w:ascii="Times New Roman" w:cs="Times New Roman" w:eastAsia="Times New Roman" w:hAnsi="Times New Roman"/>
          <w:sz w:val="16"/>
          <w:szCs w:val="16"/>
          <w:color w:val="auto"/>
        </w:rPr>
      </w:pPr>
    </w:p>
    <w:p>
      <w:pPr>
        <w:ind w:left="640" w:right="20" w:hanging="253"/>
        <w:spacing w:after="0" w:line="269" w:lineRule="auto"/>
        <w:tabs>
          <w:tab w:leader="none" w:pos="6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government’s inability to satisfy its obligations, including supplying government furnished equipment necessary for us to produce and deliver HALEU under the HALEU Operation Contract and processing security clearance applications due to a government shutdown or other reasons;</w:t>
      </w:r>
    </w:p>
    <w:p>
      <w:pPr>
        <w:spacing w:after="0" w:line="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ability to obtain the government’s approval to extend the term of, or the scope of permitted activities under, our lease with the DOE in Piketon, Ohio;</w:t>
      </w:r>
    </w:p>
    <w:p>
      <w:pPr>
        <w:spacing w:after="0" w:line="72"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cybersecurity incidents that may impact our business operations;</w:t>
      </w:r>
    </w:p>
    <w:p>
      <w:pPr>
        <w:spacing w:after="0" w:line="49" w:lineRule="exact"/>
        <w:rPr>
          <w:rFonts w:ascii="Times New Roman" w:cs="Times New Roman" w:eastAsia="Times New Roman" w:hAnsi="Times New Roman"/>
          <w:sz w:val="16"/>
          <w:szCs w:val="16"/>
          <w:color w:val="auto"/>
        </w:rPr>
      </w:pPr>
    </w:p>
    <w:p>
      <w:pPr>
        <w:ind w:left="640" w:right="20" w:hanging="253"/>
        <w:spacing w:after="0" w:line="259" w:lineRule="auto"/>
        <w:tabs>
          <w:tab w:leader="none" w:pos="6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ability to perform fixed-price and cost-share contracts such as the HALEU Operation Contract, including the risk that costs that we must bear could be higher than expected and the risk related to complying with stringent government contractual requirements; and</w:t>
      </w:r>
    </w:p>
    <w:p>
      <w:pPr>
        <w:spacing w:after="0" w:line="16"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attracting qualified employees necessary for the potential expansion of our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Risks related to financial factors </w:t>
      </w:r>
      <w:r>
        <w:rPr>
          <w:rFonts w:ascii="Times New Roman" w:cs="Times New Roman" w:eastAsia="Times New Roman" w:hAnsi="Times New Roman"/>
          <w:sz w:val="16"/>
          <w:szCs w:val="16"/>
          <w:color w:val="auto"/>
        </w:rPr>
        <w:t>primarily include:</w:t>
      </w:r>
    </w:p>
    <w:p>
      <w:pPr>
        <w:spacing w:after="0" w:line="21" w:lineRule="exact"/>
        <w:rPr>
          <w:sz w:val="20"/>
          <w:szCs w:val="20"/>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long-term liabilities, including material unfunded defined benefit pension plan obligations and postretirement health and life benefit obligations;</w:t>
      </w:r>
    </w:p>
    <w:p>
      <w:pPr>
        <w:spacing w:after="0" w:line="27"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8.25% Notes maturing in February 2027;</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of revenue and operating results fluctuating significantly from quarter to quarter, and in some cases, year to year;</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impact of financial market conditions on our business, liquidity, prospects, pension assets and insurance facilities;</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Company’s capital concentration;</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value of our intangible assets related to LEU’s backlog and customer relationships;</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limited trading markets in our securities;</w:t>
      </w:r>
    </w:p>
    <w:p>
      <w:pPr>
        <w:spacing w:after="0" w:line="49" w:lineRule="exact"/>
        <w:rPr>
          <w:rFonts w:ascii="Times New Roman" w:cs="Times New Roman" w:eastAsia="Times New Roman" w:hAnsi="Times New Roman"/>
          <w:sz w:val="16"/>
          <w:szCs w:val="16"/>
          <w:color w:val="auto"/>
        </w:rPr>
      </w:pPr>
    </w:p>
    <w:p>
      <w:pPr>
        <w:ind w:left="640" w:right="200" w:hanging="253"/>
        <w:spacing w:after="0" w:line="269"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decisions made by our Class B Common Stock stockholders regarding their investment in the Company, including decisions based upon factors that are unrelated to the Company’s performance;</w:t>
      </w:r>
    </w:p>
    <w:p>
      <w:pPr>
        <w:spacing w:after="0" w:line="1" w:lineRule="exact"/>
        <w:rPr>
          <w:rFonts w:ascii="Times New Roman" w:cs="Times New Roman" w:eastAsia="Times New Roman" w:hAnsi="Times New Roman"/>
          <w:sz w:val="16"/>
          <w:szCs w:val="16"/>
          <w:color w:val="auto"/>
        </w:rPr>
      </w:pPr>
    </w:p>
    <w:p>
      <w:pPr>
        <w:ind w:left="640" w:right="300" w:hanging="253"/>
        <w:spacing w:after="0" w:line="346" w:lineRule="auto"/>
        <w:tabs>
          <w:tab w:leader="none" w:pos="63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a small number of holders of our Class A Common Stock (whose interests may not be aligned with other holders of our Class A Common Stock) may exert significant influence over the direction of the Company and may be motivated by interests that are not aligned with the Company’s other Class A stockholders;</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7" w:right="379" w:bottom="1440" w:gutter="0" w:footer="0" w:header="0"/>
        </w:sectPr>
      </w:pPr>
    </w:p>
    <w:bookmarkStart w:id="7" w:name="page8"/>
    <w:bookmarkEnd w:id="7"/>
    <w:p>
      <w:pPr>
        <w:ind w:left="640" w:right="80" w:hanging="253"/>
        <w:spacing w:after="0" w:line="254" w:lineRule="auto"/>
        <w:tabs>
          <w:tab w:leader="none" w:pos="6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(i) the use of our NOL carryforwards and NUBILs to offset future taxable income and the use of the Rights Agreement to prevent an “ownership change” as defined in Section 382 of the Internal Revenue Code and (ii) our ability to generate taxable income to utilize all or a portion of the NOLs prior to the expiration thereof and NUBILs; and</w:t>
      </w:r>
    </w:p>
    <w:p>
      <w:pPr>
        <w:spacing w:after="0" w:line="2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failures or security breaches of our information technology systems.</w:t>
      </w:r>
    </w:p>
    <w:p>
      <w:pPr>
        <w:spacing w:after="0" w:line="2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Risks related to general factors </w:t>
      </w:r>
      <w:r>
        <w:rPr>
          <w:rFonts w:ascii="Times New Roman" w:cs="Times New Roman" w:eastAsia="Times New Roman" w:hAnsi="Times New Roman"/>
          <w:sz w:val="16"/>
          <w:szCs w:val="16"/>
          <w:color w:val="auto"/>
        </w:rPr>
        <w:t>primarily include:</w:t>
      </w:r>
    </w:p>
    <w:p>
      <w:pPr>
        <w:spacing w:after="0" w:line="51" w:lineRule="exact"/>
        <w:rPr>
          <w:sz w:val="20"/>
          <w:szCs w:val="20"/>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ability to attract and retain key personnel;</w:t>
      </w:r>
    </w:p>
    <w:p>
      <w:pPr>
        <w:spacing w:after="0" w:line="49" w:lineRule="exact"/>
        <w:rPr>
          <w:rFonts w:ascii="Times New Roman" w:cs="Times New Roman" w:eastAsia="Times New Roman" w:hAnsi="Times New Roman"/>
          <w:sz w:val="16"/>
          <w:szCs w:val="16"/>
          <w:color w:val="auto"/>
        </w:rPr>
      </w:pPr>
    </w:p>
    <w:p>
      <w:pPr>
        <w:ind w:left="640" w:right="40" w:hanging="253"/>
        <w:spacing w:after="0" w:line="259" w:lineRule="auto"/>
        <w:tabs>
          <w:tab w:leader="none" w:pos="6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we will be unable to obtain new business opportunities or achieve market acceptance of our products and services or that products or services provided by others will render our products or services obsolete or noncompetitive;</w:t>
      </w:r>
    </w:p>
    <w:p>
      <w:pPr>
        <w:spacing w:after="0" w:line="16" w:lineRule="exact"/>
        <w:rPr>
          <w:rFonts w:ascii="Times New Roman" w:cs="Times New Roman" w:eastAsia="Times New Roman" w:hAnsi="Times New Roman"/>
          <w:sz w:val="16"/>
          <w:szCs w:val="16"/>
          <w:color w:val="auto"/>
        </w:rPr>
      </w:pPr>
    </w:p>
    <w:p>
      <w:pPr>
        <w:ind w:left="640" w:right="80" w:hanging="253"/>
        <w:spacing w:after="0" w:line="259" w:lineRule="auto"/>
        <w:tabs>
          <w:tab w:leader="none" w:pos="6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actions, including reviews or audits, that may be taken by the U.S. government, the Russian government, or other governments that could affect our ability to perform under our contractual obligations or the ability of our sources of supply to perform under their contractual obligations to us;</w:t>
      </w:r>
    </w:p>
    <w:p>
      <w:pPr>
        <w:spacing w:after="0" w:line="16" w:lineRule="exact"/>
        <w:rPr>
          <w:rFonts w:ascii="Times New Roman" w:cs="Times New Roman" w:eastAsia="Times New Roman" w:hAnsi="Times New Roman"/>
          <w:sz w:val="16"/>
          <w:szCs w:val="16"/>
          <w:color w:val="auto"/>
        </w:rPr>
      </w:pPr>
    </w:p>
    <w:p>
      <w:pPr>
        <w:ind w:left="640" w:right="20" w:hanging="253"/>
        <w:spacing w:after="0" w:line="269" w:lineRule="auto"/>
        <w:tabs>
          <w:tab w:leader="none" w:pos="6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ability to perform and receive timely payment under our agreements with the DOE or other government agencies, including risks related to the ongoing funding by the government and potential audits;</w:t>
      </w:r>
    </w:p>
    <w:p>
      <w:pPr>
        <w:spacing w:after="0" w:line="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or termination of our agreements with the U.S. government or other counterparties, or the exercise of contract remedies by such counterparties;</w:t>
      </w:r>
    </w:p>
    <w:p>
      <w:pPr>
        <w:spacing w:after="0" w:line="72"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competitive environment for our products and services;</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changes in the nuclear energy industry;</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competitive bidding process associated with obtaining contracts, including government contracts; and</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potential strategic transactions that could be difficult to implement, that could disrupt our business or that could change our business profile significantly.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Risks related to legal and compliance factors </w:t>
      </w:r>
      <w:r>
        <w:rPr>
          <w:rFonts w:ascii="Times New Roman" w:cs="Times New Roman" w:eastAsia="Times New Roman" w:hAnsi="Times New Roman"/>
          <w:sz w:val="16"/>
          <w:szCs w:val="16"/>
          <w:color w:val="auto"/>
        </w:rPr>
        <w:t>primarily include:</w:t>
      </w:r>
    </w:p>
    <w:p>
      <w:pPr>
        <w:spacing w:after="0" w:line="21" w:lineRule="exact"/>
        <w:rPr>
          <w:sz w:val="20"/>
          <w:szCs w:val="20"/>
          <w:color w:val="auto"/>
        </w:rPr>
      </w:pPr>
    </w:p>
    <w:p>
      <w:pPr>
        <w:ind w:left="640" w:hanging="253"/>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outcome of legal proceedings and other contingencies (including lawsuits and government investigations or audits);</w:t>
      </w:r>
    </w:p>
    <w:p>
      <w:pPr>
        <w:spacing w:after="0" w:line="27"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impact of government regulation and policies or interpretation of laws or regulations, including by the DOE, DOC and the NRC;</w:t>
      </w:r>
    </w:p>
    <w:p>
      <w:pPr>
        <w:spacing w:after="0" w:line="49" w:lineRule="exact"/>
        <w:rPr>
          <w:rFonts w:ascii="Times New Roman" w:cs="Times New Roman" w:eastAsia="Times New Roman" w:hAnsi="Times New Roman"/>
          <w:sz w:val="16"/>
          <w:szCs w:val="16"/>
          <w:color w:val="auto"/>
        </w:rPr>
      </w:pPr>
    </w:p>
    <w:p>
      <w:pPr>
        <w:ind w:left="640" w:right="320" w:hanging="253"/>
        <w:spacing w:after="0" w:line="259" w:lineRule="auto"/>
        <w:tabs>
          <w:tab w:leader="none" w:pos="6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of accidents during the transportation, handling, or processing of toxic hazardous or radioactive material that may pose a health risk to humans or animals, cause property or environmental damage, or result in precautionary evacuations, and lead to claims against the Company;</w:t>
      </w:r>
    </w:p>
    <w:p>
      <w:pPr>
        <w:spacing w:after="0" w:line="16" w:lineRule="exact"/>
        <w:rPr>
          <w:rFonts w:ascii="Times New Roman" w:cs="Times New Roman" w:eastAsia="Times New Roman" w:hAnsi="Times New Roman"/>
          <w:sz w:val="16"/>
          <w:szCs w:val="16"/>
          <w:color w:val="auto"/>
        </w:rPr>
      </w:pPr>
    </w:p>
    <w:p>
      <w:pPr>
        <w:ind w:left="640" w:right="240" w:hanging="253"/>
        <w:spacing w:after="0" w:line="269" w:lineRule="auto"/>
        <w:tabs>
          <w:tab w:leader="none" w:pos="6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claims and litigation arising from past activities at sites we currently operate or past activities at sites we no longer operate, including the Paducah GDP and Portsmouth GDP; and</w:t>
      </w:r>
    </w:p>
    <w:p>
      <w:pPr>
        <w:spacing w:after="0" w:line="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discussed in this and our other filings with the SEC.</w:t>
      </w:r>
    </w:p>
    <w:p>
      <w:pPr>
        <w:spacing w:after="0" w:line="24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For a more detailed discussion of these risks and others that could cause actual results to differ materially from those contained in our forward-looking statements, please see our Annual Report on Form 10-K for the year ended December 31, 2023. These factors may not constitute all factors that could cause actual results to differ from those discussed in any forward-looking statement. Accordingly, forward-looking statements should not be relied upon as a predictor of actual results.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color w:val="auto"/>
        </w:rPr>
        <w:t>CENTRUS ENERGY CORP.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(Unaudited; in millions, except share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00" w:type="dxa"/>
            <w:vAlign w:val="bottom"/>
          </w:tcPr>
          <w:p>
            <w:pPr>
              <w:spacing w:after="0"/>
              <w:rPr>
                <w:sz w:val="12"/>
                <w:szCs w:val="12"/>
                <w:color w:val="auto"/>
              </w:rPr>
            </w:pPr>
          </w:p>
        </w:tc>
        <w:tc>
          <w:tcPr>
            <w:tcW w:w="1120" w:type="dxa"/>
            <w:vAlign w:val="bottom"/>
          </w:tcPr>
          <w:p>
            <w:pPr>
              <w:jc w:val="right"/>
              <w:ind w:right="253"/>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64"/>
        </w:trPr>
        <w:tc>
          <w:tcPr>
            <w:tcW w:w="8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6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0" w:type="dxa"/>
            <w:vAlign w:val="bottom"/>
          </w:tcPr>
          <w:p>
            <w:pPr>
              <w:spacing w:after="0"/>
              <w:rPr>
                <w:sz w:val="1"/>
                <w:szCs w:val="1"/>
                <w:color w:val="auto"/>
              </w:rPr>
            </w:pP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306.4</w:t>
            </w:r>
          </w:p>
        </w:tc>
        <w:tc>
          <w:tcPr>
            <w:tcW w:w="0" w:type="dxa"/>
            <w:vAlign w:val="bottom"/>
          </w:tcPr>
          <w:p>
            <w:pPr>
              <w:spacing w:after="0"/>
              <w:rPr>
                <w:sz w:val="1"/>
                <w:szCs w:val="1"/>
                <w:color w:val="auto"/>
              </w:rPr>
            </w:pP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costs associated with deferred revenue</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68"/>
        </w:trPr>
        <w:tc>
          <w:tcPr>
            <w:tcW w:w="8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685.4</w:t>
            </w:r>
          </w:p>
        </w:tc>
        <w:tc>
          <w:tcPr>
            <w:tcW w:w="0" w:type="dxa"/>
            <w:vAlign w:val="bottom"/>
          </w:tcPr>
          <w:p>
            <w:pPr>
              <w:spacing w:after="0"/>
              <w:rPr>
                <w:sz w:val="1"/>
                <w:szCs w:val="1"/>
                <w:color w:val="auto"/>
              </w:rPr>
            </w:pPr>
          </w:p>
        </w:tc>
      </w:tr>
      <w:tr>
        <w:trPr>
          <w:trHeight w:val="131"/>
        </w:trPr>
        <w:tc>
          <w:tcPr>
            <w:tcW w:w="85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Property, plant and equipment, net of accumulated depreciation of $4.9 million and $4.3 million as of September 30, 2024 and December 31, 2023,</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8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respectively</w:t>
            </w:r>
          </w:p>
        </w:tc>
        <w:tc>
          <w:tcPr>
            <w:tcW w:w="18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Deposits for financial assurance</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0" w:type="dxa"/>
            <w:vAlign w:val="bottom"/>
          </w:tcPr>
          <w:p>
            <w:pPr>
              <w:spacing w:after="0"/>
              <w:rPr>
                <w:sz w:val="1"/>
                <w:szCs w:val="1"/>
                <w:color w:val="auto"/>
              </w:rPr>
            </w:pPr>
          </w:p>
        </w:tc>
      </w:tr>
      <w:tr>
        <w:trPr>
          <w:trHeight w:val="180"/>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7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74"/>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591.0</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796.2</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8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6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Payables under inventory purchase agreements</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 owed to customers and suppliers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revenue and advances from customers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282.6</w:t>
            </w:r>
          </w:p>
        </w:tc>
        <w:tc>
          <w:tcPr>
            <w:tcW w:w="0" w:type="dxa"/>
            <w:vAlign w:val="bottom"/>
          </w:tcPr>
          <w:p>
            <w:pPr>
              <w:spacing w:after="0"/>
              <w:rPr>
                <w:sz w:val="1"/>
                <w:szCs w:val="1"/>
                <w:color w:val="auto"/>
              </w:rPr>
            </w:pP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Short-term inventory loans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debt</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68"/>
        </w:trPr>
        <w:tc>
          <w:tcPr>
            <w:tcW w:w="8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471.1</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0" w:type="dxa"/>
            <w:vAlign w:val="bottom"/>
          </w:tcPr>
          <w:p>
            <w:pPr>
              <w:spacing w:after="0"/>
              <w:rPr>
                <w:sz w:val="1"/>
                <w:szCs w:val="1"/>
                <w:color w:val="auto"/>
              </w:rPr>
            </w:pP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Postretirement health and life benefit obligations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benefit liabilities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0" w:type="dxa"/>
            <w:vAlign w:val="bottom"/>
          </w:tcPr>
          <w:p>
            <w:pPr>
              <w:spacing w:after="0"/>
              <w:rPr>
                <w:sz w:val="1"/>
                <w:szCs w:val="1"/>
                <w:color w:val="auto"/>
              </w:rPr>
            </w:pP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Advances from customers</w:t>
            </w:r>
          </w:p>
        </w:tc>
        <w:tc>
          <w:tcPr>
            <w:tcW w:w="18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inventory loans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0" w:type="dxa"/>
            <w:vAlign w:val="bottom"/>
          </w:tcPr>
          <w:p>
            <w:pPr>
              <w:spacing w:after="0"/>
              <w:rPr>
                <w:sz w:val="1"/>
                <w:szCs w:val="1"/>
                <w:color w:val="auto"/>
              </w:rPr>
            </w:pPr>
          </w:p>
        </w:tc>
      </w:tr>
      <w:tr>
        <w:trPr>
          <w:trHeight w:val="17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7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514.6</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763.9</w:t>
            </w:r>
          </w:p>
        </w:tc>
        <w:tc>
          <w:tcPr>
            <w:tcW w:w="0" w:type="dxa"/>
            <w:vAlign w:val="bottom"/>
          </w:tcPr>
          <w:p>
            <w:pPr>
              <w:spacing w:after="0"/>
              <w:rPr>
                <w:sz w:val="1"/>
                <w:szCs w:val="1"/>
                <w:color w:val="auto"/>
              </w:rPr>
            </w:pP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12)</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 par value $1.00 per share, 20,000,000 shares authorized</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Series A Participating Cumulative Preferred Stock, none issued</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8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Series B Senior Preferred Stock, none issued</w:t>
            </w:r>
          </w:p>
        </w:tc>
        <w:tc>
          <w:tcPr>
            <w:tcW w:w="18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1"/>
        </w:trPr>
        <w:tc>
          <w:tcPr>
            <w:tcW w:w="8500" w:type="dxa"/>
            <w:vAlign w:val="bottom"/>
            <w:shd w:val="clear" w:color="auto" w:fill="CCEEFF"/>
          </w:tcPr>
          <w:p>
            <w:pPr>
              <w:ind w:left="120"/>
              <w:spacing w:after="0" w:line="131" w:lineRule="exact"/>
              <w:rPr>
                <w:sz w:val="20"/>
                <w:szCs w:val="20"/>
                <w:color w:val="auto"/>
              </w:rPr>
            </w:pPr>
            <w:r>
              <w:rPr>
                <w:rFonts w:ascii="Times New Roman" w:cs="Times New Roman" w:eastAsia="Times New Roman" w:hAnsi="Times New Roman"/>
                <w:sz w:val="13"/>
                <w:szCs w:val="13"/>
                <w:color w:val="auto"/>
              </w:rPr>
              <w:t>Class A Common Stock, par value $0.10 per share, 70,000,000 shares authorized, 15,677,224 and 14,956,434 shares issued and outstanding as of</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80"/>
        </w:trPr>
        <w:tc>
          <w:tcPr>
            <w:tcW w:w="8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September 30, 2024 and December 31, 2023, respectively</w:t>
            </w:r>
          </w:p>
        </w:tc>
        <w:tc>
          <w:tcPr>
            <w:tcW w:w="18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850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auto"/>
              </w:rPr>
              <w:t>Class B Common Stock, par value $0.10 per share, 30,000,000 shares authorized, 719,200 shares issued and outstanding as of September 30, 2024 and</w:t>
            </w:r>
          </w:p>
        </w:tc>
        <w:tc>
          <w:tcPr>
            <w:tcW w:w="1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7"/>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December 31, 2023</w:t>
            </w: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Excess of capital over par value</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0" w:type="dxa"/>
            <w:vAlign w:val="bottom"/>
          </w:tcPr>
          <w:p>
            <w:pPr>
              <w:spacing w:after="0"/>
              <w:rPr>
                <w:sz w:val="1"/>
                <w:szCs w:val="1"/>
                <w:color w:val="auto"/>
              </w:rPr>
            </w:pP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Accumulated deficit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8"/>
        </w:trPr>
        <w:tc>
          <w:tcPr>
            <w:tcW w:w="8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0" w:type="dxa"/>
            <w:vAlign w:val="bottom"/>
          </w:tcPr>
          <w:p>
            <w:pPr>
              <w:spacing w:after="0"/>
              <w:rPr>
                <w:sz w:val="1"/>
                <w:szCs w:val="1"/>
                <w:color w:val="auto"/>
              </w:rPr>
            </w:pPr>
          </w:p>
        </w:tc>
      </w:tr>
      <w:tr>
        <w:trPr>
          <w:trHeight w:val="199"/>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591.0</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796.2</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 except share and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2140" w:type="dxa"/>
            <w:vAlign w:val="bottom"/>
            <w:gridSpan w:val="4"/>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155"/>
        </w:trPr>
        <w:tc>
          <w:tcPr>
            <w:tcW w:w="58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Separative work units</w:t>
            </w: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147.4</w:t>
            </w:r>
          </w:p>
        </w:tc>
        <w:tc>
          <w:tcPr>
            <w:tcW w:w="0" w:type="dxa"/>
            <w:vAlign w:val="bottom"/>
          </w:tcPr>
          <w:p>
            <w:pPr>
              <w:spacing w:after="0"/>
              <w:rPr>
                <w:sz w:val="1"/>
                <w:szCs w:val="1"/>
                <w:color w:val="auto"/>
              </w:rPr>
            </w:pPr>
          </w:p>
        </w:tc>
      </w:tr>
      <w:tr>
        <w:trPr>
          <w:trHeight w:val="177"/>
        </w:trPr>
        <w:tc>
          <w:tcPr>
            <w:tcW w:w="5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Uranium</w:t>
            </w:r>
          </w:p>
        </w:tc>
        <w:tc>
          <w:tcPr>
            <w:tcW w:w="78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Technical solutions</w:t>
            </w: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0" w:type="dxa"/>
            <w:vAlign w:val="bottom"/>
          </w:tcPr>
          <w:p>
            <w:pPr>
              <w:spacing w:after="0"/>
              <w:rPr>
                <w:sz w:val="1"/>
                <w:szCs w:val="1"/>
                <w:color w:val="auto"/>
              </w:rPr>
            </w:pPr>
          </w:p>
        </w:tc>
      </w:tr>
      <w:tr>
        <w:trPr>
          <w:trHeight w:val="168"/>
        </w:trPr>
        <w:tc>
          <w:tcPr>
            <w:tcW w:w="5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revenue</w:t>
            </w: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216.6</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Separative work units and uranium</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Technical solutions</w:t>
            </w: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168"/>
        </w:trPr>
        <w:tc>
          <w:tcPr>
            <w:tcW w:w="58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cost of sales</w:t>
            </w: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240.7</w:t>
            </w: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154.3</w:t>
            </w:r>
          </w:p>
        </w:tc>
        <w:tc>
          <w:tcPr>
            <w:tcW w:w="0" w:type="dxa"/>
            <w:vAlign w:val="bottom"/>
          </w:tcPr>
          <w:p>
            <w:pPr>
              <w:spacing w:after="0"/>
              <w:rPr>
                <w:sz w:val="1"/>
                <w:szCs w:val="1"/>
                <w:color w:val="auto"/>
              </w:rPr>
            </w:pPr>
          </w:p>
        </w:tc>
      </w:tr>
      <w:tr>
        <w:trPr>
          <w:trHeight w:val="17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0" w:type="dxa"/>
            <w:vAlign w:val="bottom"/>
          </w:tcPr>
          <w:p>
            <w:pPr>
              <w:spacing w:after="0"/>
              <w:rPr>
                <w:sz w:val="1"/>
                <w:szCs w:val="1"/>
                <w:color w:val="auto"/>
              </w:rPr>
            </w:pPr>
          </w:p>
        </w:tc>
      </w:tr>
      <w:tr>
        <w:trPr>
          <w:trHeight w:val="177"/>
        </w:trPr>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Advanced technology costs</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0" w:type="dxa"/>
            <w:vAlign w:val="bottom"/>
          </w:tcPr>
          <w:p>
            <w:pPr>
              <w:spacing w:after="0"/>
              <w:rPr>
                <w:sz w:val="1"/>
                <w:szCs w:val="1"/>
                <w:color w:val="auto"/>
              </w:rPr>
            </w:pPr>
          </w:p>
        </w:tc>
      </w:tr>
      <w:tr>
        <w:trPr>
          <w:trHeight w:val="177"/>
        </w:trPr>
        <w:tc>
          <w:tcPr>
            <w:tcW w:w="5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7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0" w:type="dxa"/>
            <w:vAlign w:val="bottom"/>
          </w:tcPr>
          <w:p>
            <w:pPr>
              <w:spacing w:after="0"/>
              <w:rPr>
                <w:sz w:val="1"/>
                <w:szCs w:val="1"/>
                <w:color w:val="auto"/>
              </w:rPr>
            </w:pPr>
          </w:p>
        </w:tc>
      </w:tr>
      <w:tr>
        <w:trPr>
          <w:trHeight w:val="177"/>
        </w:trPr>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Nonoperating components of net periodic benefit loss (income)</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77"/>
        </w:trPr>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income</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expense (income), net</w:t>
            </w:r>
          </w:p>
        </w:tc>
        <w:tc>
          <w:tcPr>
            <w:tcW w:w="7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8"/>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7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0"/>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and comprehensive income (loss)</w:t>
            </w:r>
          </w:p>
        </w:tc>
        <w:tc>
          <w:tcPr>
            <w:tcW w:w="7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40" w:type="dxa"/>
            <w:vAlign w:val="bottom"/>
          </w:tcPr>
          <w:p>
            <w:pPr>
              <w:spacing w:after="0"/>
              <w:rPr>
                <w:sz w:val="13"/>
                <w:szCs w:val="13"/>
                <w:color w:val="auto"/>
              </w:rPr>
            </w:pPr>
          </w:p>
        </w:tc>
        <w:tc>
          <w:tcPr>
            <w:tcW w:w="4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per share:</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0.53</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77"/>
        </w:trPr>
        <w:tc>
          <w:tcPr>
            <w:tcW w:w="5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40" w:type="dxa"/>
            <w:vAlign w:val="bottom"/>
          </w:tcPr>
          <w:p>
            <w:pPr>
              <w:spacing w:after="0"/>
              <w:rPr>
                <w:sz w:val="15"/>
                <w:szCs w:val="15"/>
                <w:color w:val="auto"/>
              </w:rPr>
            </w:pP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w:t>
            </w:r>
          </w:p>
        </w:tc>
        <w:tc>
          <w:tcPr>
            <w:tcW w:w="24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40" w:type="dxa"/>
            <w:vAlign w:val="bottom"/>
          </w:tcPr>
          <w:p>
            <w:pPr>
              <w:spacing w:after="0"/>
              <w:rPr>
                <w:sz w:val="15"/>
                <w:szCs w:val="15"/>
                <w:color w:val="auto"/>
              </w:rPr>
            </w:pPr>
          </w:p>
        </w:tc>
        <w:tc>
          <w:tcPr>
            <w:tcW w:w="46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Average number of common shares outstanding (in thousands):</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16,422</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16,172</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15,127</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16,422</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15,626</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16,236</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4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20" w:type="dxa"/>
            <w:vAlign w:val="bottom"/>
            <w:tcBorders>
              <w:bottom w:val="single" w:sz="8" w:color="auto"/>
            </w:tcBorders>
          </w:tcPr>
          <w:p>
            <w:pPr>
              <w:spacing w:after="0"/>
              <w:rPr>
                <w:sz w:val="14"/>
                <w:szCs w:val="14"/>
                <w:color w:val="auto"/>
              </w:rPr>
            </w:pPr>
          </w:p>
        </w:tc>
      </w:tr>
      <w:tr>
        <w:trPr>
          <w:trHeight w:val="161"/>
        </w:trPr>
        <w:tc>
          <w:tcPr>
            <w:tcW w:w="77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r>
      <w:tr>
        <w:trPr>
          <w:trHeight w:val="16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80" w:type="dxa"/>
            <w:vAlign w:val="bottom"/>
          </w:tcPr>
          <w:p>
            <w:pPr>
              <w:spacing w:after="0"/>
              <w:rPr>
                <w:sz w:val="14"/>
                <w:szCs w:val="14"/>
                <w:color w:val="auto"/>
              </w:rPr>
            </w:pPr>
          </w:p>
        </w:tc>
        <w:tc>
          <w:tcPr>
            <w:tcW w:w="1160" w:type="dxa"/>
            <w:vAlign w:val="bottom"/>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r>
      <w:tr>
        <w:trPr>
          <w:trHeight w:val="17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cash used in operating activities: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7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2"/>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loss on long-term contract</w:t>
            </w:r>
          </w:p>
        </w:tc>
        <w:tc>
          <w:tcPr>
            <w:tcW w:w="1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r>
      <w:tr>
        <w:trPr>
          <w:trHeight w:val="168"/>
        </w:trPr>
        <w:tc>
          <w:tcPr>
            <w:tcW w:w="7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tax assets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remeasurement of retirement benefit plans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r>
      <w:tr>
        <w:trPr>
          <w:trHeight w:val="168"/>
        </w:trPr>
        <w:tc>
          <w:tcPr>
            <w:tcW w:w="7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 related compensation</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Revaluation of inventory borrowings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8"/>
        </w:trPr>
        <w:tc>
          <w:tcPr>
            <w:tcW w:w="7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reconciling adjustments, net</w:t>
            </w:r>
          </w:p>
        </w:tc>
        <w:tc>
          <w:tcPr>
            <w:tcW w:w="11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77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receivable</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r>
      <w:tr>
        <w:trPr>
          <w:trHeight w:val="172"/>
        </w:trPr>
        <w:tc>
          <w:tcPr>
            <w:tcW w:w="7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Inventories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r>
      <w:tr>
        <w:trPr>
          <w:trHeight w:val="168"/>
        </w:trPr>
        <w:tc>
          <w:tcPr>
            <w:tcW w:w="77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Inventories owed to customers and suppliers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w:t>
            </w:r>
          </w:p>
        </w:tc>
      </w:tr>
      <w:tr>
        <w:trPr>
          <w:trHeight w:val="172"/>
        </w:trPr>
        <w:tc>
          <w:tcPr>
            <w:tcW w:w="7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current assets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r>
      <w:tr>
        <w:trPr>
          <w:trHeight w:val="168"/>
        </w:trPr>
        <w:tc>
          <w:tcPr>
            <w:tcW w:w="77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2"/>
        </w:trPr>
        <w:tc>
          <w:tcPr>
            <w:tcW w:w="7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Payables under inventory purchase agreements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r>
      <w:tr>
        <w:trPr>
          <w:trHeight w:val="168"/>
        </w:trPr>
        <w:tc>
          <w:tcPr>
            <w:tcW w:w="77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revenue and advances from customers, net of deferred costs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2"/>
        </w:trPr>
        <w:tc>
          <w:tcPr>
            <w:tcW w:w="7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Pension and postretirement benefit liabilities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77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 changes, net</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160"/>
        </w:trPr>
        <w:tc>
          <w:tcPr>
            <w:tcW w:w="7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used in operating activities</w:t>
            </w:r>
          </w:p>
        </w:tc>
        <w:tc>
          <w:tcPr>
            <w:tcW w:w="1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8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67"/>
        </w:trPr>
        <w:tc>
          <w:tcPr>
            <w:tcW w:w="77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20" w:type="dxa"/>
            <w:vAlign w:val="bottom"/>
          </w:tcPr>
          <w:p>
            <w:pPr>
              <w:spacing w:after="0"/>
              <w:rPr>
                <w:sz w:val="5"/>
                <w:szCs w:val="5"/>
                <w:color w:val="auto"/>
              </w:rPr>
            </w:pPr>
          </w:p>
        </w:tc>
      </w:tr>
      <w:tr>
        <w:trPr>
          <w:trHeight w:val="18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w:t>
            </w: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68"/>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0"/>
        </w:trPr>
        <w:tc>
          <w:tcPr>
            <w:tcW w:w="7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1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8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67"/>
        </w:trPr>
        <w:tc>
          <w:tcPr>
            <w:tcW w:w="77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20" w:type="dxa"/>
            <w:vAlign w:val="bottom"/>
          </w:tcPr>
          <w:p>
            <w:pPr>
              <w:spacing w:after="0"/>
              <w:rPr>
                <w:sz w:val="5"/>
                <w:szCs w:val="5"/>
                <w:color w:val="auto"/>
              </w:rPr>
            </w:pPr>
          </w:p>
        </w:tc>
      </w:tr>
      <w:tr>
        <w:trPr>
          <w:trHeight w:val="18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68"/>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common stock, net</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r>
      <w:tr>
        <w:trPr>
          <w:trHeight w:val="17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withheld for tax obligations under stock-based compensation plan</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interest classified as debt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68"/>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0"/>
        </w:trPr>
        <w:tc>
          <w:tcPr>
            <w:tcW w:w="774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116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67"/>
        </w:trPr>
        <w:tc>
          <w:tcPr>
            <w:tcW w:w="774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r>
      <w:tr>
        <w:trPr>
          <w:trHeight w:val="15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67"/>
        </w:trPr>
        <w:tc>
          <w:tcPr>
            <w:tcW w:w="77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20" w:type="dxa"/>
            <w:vAlign w:val="bottom"/>
          </w:tcPr>
          <w:p>
            <w:pPr>
              <w:spacing w:after="0"/>
              <w:rPr>
                <w:sz w:val="5"/>
                <w:szCs w:val="5"/>
                <w:color w:val="auto"/>
              </w:rPr>
            </w:pPr>
          </w:p>
        </w:tc>
      </w:tr>
      <w:tr>
        <w:trPr>
          <w:trHeight w:val="1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(decrease) in cash, cash equivalents and restricted cash</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8"/>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 (Note 3)</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233.8</w:t>
            </w:r>
          </w:p>
        </w:tc>
        <w:tc>
          <w:tcPr>
            <w:tcW w:w="1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212.4</w:t>
            </w:r>
          </w:p>
        </w:tc>
      </w:tr>
      <w:tr>
        <w:trPr>
          <w:trHeight w:val="18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end of period (Note 3)</w:t>
            </w: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226.9</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7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Supplemental cash flow disclosures: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7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1160" w:type="dxa"/>
            <w:vAlign w:val="bottom"/>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80" w:type="dxa"/>
            <w:vAlign w:val="bottom"/>
          </w:tcPr>
          <w:p>
            <w:pPr>
              <w:spacing w:after="0"/>
              <w:rPr>
                <w:sz w:val="14"/>
                <w:szCs w:val="14"/>
                <w:color w:val="auto"/>
              </w:rPr>
            </w:pPr>
          </w:p>
        </w:tc>
        <w:tc>
          <w:tcPr>
            <w:tcW w:w="1160" w:type="dxa"/>
            <w:vAlign w:val="bottom"/>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87"/>
        </w:trPr>
        <w:tc>
          <w:tcPr>
            <w:tcW w:w="77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r>
      <w:tr>
        <w:trPr>
          <w:trHeight w:val="168"/>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activities:</w:t>
            </w: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 of right to use lease assets from lease modification</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68"/>
        </w:trPr>
        <w:tc>
          <w:tcPr>
            <w:tcW w:w="7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Property, plant and equipment included in accounts payable and accrued liabilities</w:t>
            </w:r>
          </w:p>
        </w:tc>
        <w:tc>
          <w:tcPr>
            <w:tcW w:w="1160" w:type="dxa"/>
            <w:vAlign w:val="bottom"/>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80" w:type="dxa"/>
            <w:vAlign w:val="bottom"/>
          </w:tcPr>
          <w:p>
            <w:pPr>
              <w:spacing w:after="0"/>
              <w:rPr>
                <w:sz w:val="14"/>
                <w:szCs w:val="14"/>
                <w:color w:val="auto"/>
              </w:rPr>
            </w:pPr>
          </w:p>
        </w:tc>
        <w:tc>
          <w:tcPr>
            <w:tcW w:w="1160" w:type="dxa"/>
            <w:vAlign w:val="bottom"/>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72"/>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 withheld for tax obligations under stock-based compensation plan</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 (DEFICIT)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Excess of</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9"/>
                <w:szCs w:val="9"/>
                <w:color w:val="auto"/>
              </w:rPr>
            </w:pPr>
          </w:p>
        </w:tc>
        <w:tc>
          <w:tcPr>
            <w:tcW w:w="96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Class A,</w:t>
            </w: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Par Value</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w w:val="97"/>
              </w:rPr>
              <w:t>Par Value</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Capital Over</w:t>
            </w: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20" w:type="dxa"/>
            <w:vAlign w:val="bottom"/>
          </w:tcPr>
          <w:p>
            <w:pPr>
              <w:spacing w:after="0"/>
              <w:rPr>
                <w:sz w:val="10"/>
                <w:szCs w:val="10"/>
                <w:color w:val="auto"/>
              </w:rPr>
            </w:pPr>
          </w:p>
        </w:tc>
        <w:tc>
          <w:tcPr>
            <w:tcW w:w="130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Other Comprehensive</w:t>
            </w:r>
          </w:p>
        </w:tc>
        <w:tc>
          <w:tcPr>
            <w:tcW w:w="220" w:type="dxa"/>
            <w:vAlign w:val="bottom"/>
          </w:tcPr>
          <w:p>
            <w:pPr>
              <w:spacing w:after="0"/>
              <w:rPr>
                <w:sz w:val="10"/>
                <w:szCs w:val="10"/>
                <w:color w:val="auto"/>
              </w:rPr>
            </w:pPr>
          </w:p>
        </w:tc>
        <w:tc>
          <w:tcPr>
            <w:tcW w:w="760" w:type="dxa"/>
            <w:vAlign w:val="bottom"/>
            <w:vMerge w:val="restart"/>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three months ended March 31, 2023</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0" w:type="dxa"/>
            <w:vAlign w:val="bottom"/>
          </w:tcPr>
          <w:p>
            <w:pPr>
              <w:spacing w:after="0"/>
              <w:rPr>
                <w:sz w:val="1"/>
                <w:szCs w:val="1"/>
                <w:color w:val="auto"/>
              </w:rPr>
            </w:pP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Stock-based compensation shares withheld for employee</w:t>
            </w:r>
          </w:p>
        </w:tc>
        <w:tc>
          <w:tcPr>
            <w:tcW w:w="8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taxes</w:t>
            </w: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8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(44.5)</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for the three months ended June 30, 2023</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Stock-based compensation shares withheld for employee</w:t>
            </w:r>
          </w:p>
        </w:tc>
        <w:tc>
          <w:tcPr>
            <w:tcW w:w="8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taxes</w:t>
            </w: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179.8</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(214.0)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(32.5)</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Net income for the three months ended September 30,</w:t>
            </w:r>
          </w:p>
        </w:tc>
        <w:tc>
          <w:tcPr>
            <w:tcW w:w="8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0"/>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(24.0)</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759" w:right="5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 (DEFICIT)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 except per share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Excess of</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Class A,</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Par Value</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w w:val="97"/>
              </w:rPr>
              <w:t>Par Value</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Capital Over</w:t>
            </w: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20" w:type="dxa"/>
            <w:vAlign w:val="bottom"/>
          </w:tcPr>
          <w:p>
            <w:pPr>
              <w:spacing w:after="0"/>
              <w:rPr>
                <w:sz w:val="10"/>
                <w:szCs w:val="10"/>
                <w:color w:val="auto"/>
              </w:rPr>
            </w:pPr>
          </w:p>
        </w:tc>
        <w:tc>
          <w:tcPr>
            <w:tcW w:w="130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Other Comprehensive</w:t>
            </w:r>
          </w:p>
        </w:tc>
        <w:tc>
          <w:tcPr>
            <w:tcW w:w="220" w:type="dxa"/>
            <w:vAlign w:val="bottom"/>
          </w:tcPr>
          <w:p>
            <w:pPr>
              <w:spacing w:after="0"/>
              <w:rPr>
                <w:sz w:val="10"/>
                <w:szCs w:val="10"/>
                <w:color w:val="auto"/>
              </w:rPr>
            </w:pPr>
          </w:p>
        </w:tc>
        <w:tc>
          <w:tcPr>
            <w:tcW w:w="760" w:type="dxa"/>
            <w:vAlign w:val="bottom"/>
            <w:vMerge w:val="restart"/>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8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0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w w:val="96"/>
              </w:rPr>
              <w:t>(0.3)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for the three months ended March 31, 2024</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3"/>
                <w:szCs w:val="13"/>
                <w:color w:val="auto"/>
                <w:w w:val="96"/>
              </w:rPr>
              <w:t>(0.1)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188.2</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(155.6)</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w w:val="96"/>
              </w:rPr>
              <w:t>(0.4)</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33.8</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three months ended June 30, 2024</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Stock-based compensation shares withheld for employee</w:t>
            </w:r>
          </w:p>
        </w:tc>
        <w:tc>
          <w:tcPr>
            <w:tcW w:w="8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3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8"/>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taxes</w:t>
            </w: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200.3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(125.0)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w w:val="96"/>
              </w:rPr>
              <w:t>(0.4)</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76.6</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for the three months ended September 30, 2024</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3"/>
                <w:szCs w:val="13"/>
                <w:color w:val="auto"/>
                <w:w w:val="96"/>
              </w:rPr>
              <w:t>(0.1)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205.2</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(130.0)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w w:val="96"/>
              </w:rPr>
              <w:t>(0.5)</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834" w:right="5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CENTRUS ENERGY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189"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The unaudited Consolidated Financial Statements of Centrus (the “Company”), which include the accounts of the Company, its principal subsidiary, Enrichment Corp., and its other subsidiaries, as of September 30, 2024, and for the three and nine months ended September 30, 2024, and 2023, have been prepared pursuant to the rules and regulations of the SEC. The unaudited Consolidated Balance Sheet as of December 31, 2023, was derived from audited Consolidated Financial Statements, but does not include all disclosures required by U.S. GAAP. In the opinion of management, the unaudited Consolidated Financial Statements reflect all adjustments, including normal recurring adjustments, necessary for a fair statement of the financial results for the interim period. Certain prior year amounts have been reclassified for consistency with the current year presentation. Certain information and notes normally included in financial statements prepared in accordance with U.S. GAAP have been omitted pursuant to such rules and regulations. All material intercompany transactions have been eliminated. The Company’s components of comprehensive income for the three and nine months ended September 30, 2024 and 2023, are insignificant.</w:t>
      </w:r>
    </w:p>
    <w:p>
      <w:pPr>
        <w:spacing w:after="0" w:line="166" w:lineRule="exact"/>
        <w:rPr>
          <w:sz w:val="20"/>
          <w:szCs w:val="20"/>
          <w:color w:val="auto"/>
        </w:rPr>
      </w:pPr>
    </w:p>
    <w:p>
      <w:pPr>
        <w:ind w:right="100" w:firstLine="191"/>
        <w:spacing w:after="0" w:line="254" w:lineRule="auto"/>
        <w:rPr>
          <w:sz w:val="20"/>
          <w:szCs w:val="20"/>
          <w:color w:val="auto"/>
        </w:rPr>
      </w:pPr>
      <w:r>
        <w:rPr>
          <w:rFonts w:ascii="Times New Roman" w:cs="Times New Roman" w:eastAsia="Times New Roman" w:hAnsi="Times New Roman"/>
          <w:sz w:val="16"/>
          <w:szCs w:val="16"/>
          <w:color w:val="auto"/>
        </w:rPr>
        <w:t>Operating results for the three and nine months ended September 30, 2024, are not necessarily indicative of the results that may be expected for the year ending December 31, 2024. The unaudited Consolidated Financial Statements should be read in conjunction with the Consolidated Financial Statements included in the Annual Report on Form 10-K for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98" w:lineRule="exact"/>
        <w:rPr>
          <w:sz w:val="20"/>
          <w:szCs w:val="20"/>
          <w:color w:val="auto"/>
        </w:rPr>
      </w:pPr>
    </w:p>
    <w:p>
      <w:pPr>
        <w:ind w:right="60" w:firstLine="191"/>
        <w:spacing w:after="0" w:line="262" w:lineRule="auto"/>
        <w:rPr>
          <w:sz w:val="20"/>
          <w:szCs w:val="20"/>
          <w:color w:val="auto"/>
        </w:rPr>
      </w:pPr>
      <w:r>
        <w:rPr>
          <w:rFonts w:ascii="Times New Roman" w:cs="Times New Roman" w:eastAsia="Times New Roman" w:hAnsi="Times New Roman"/>
          <w:sz w:val="16"/>
          <w:szCs w:val="16"/>
          <w:color w:val="auto"/>
        </w:rPr>
        <w:t xml:space="preserve">The accounting policies of the Company are set forth in Note 1,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of the Consolidated Financial Statements in the Company’s Annual Report on Form 10-K for the year ended December 31, 2023. There has not been a material change to the Company’s accounting policies since that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Standards Effective in Future Periods</w:t>
      </w:r>
    </w:p>
    <w:p>
      <w:pPr>
        <w:spacing w:after="0" w:line="187"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 xml:space="preserve">In November 2023, the Financial Accounting Standards Board (“FASB”) issued Accounting Standards Update ("ASU") 2023-07,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to improve reportable segment disclosure requirements, primarily through enhanced disclosures about significant segment expenses. This pronouncement is effective for fiscal years beginning after December 15, 2023, and interim periods within fiscal years beginning after December 15, 2024 and early adoption is permitted. The Company is evaluating the impact this will have on its Consolidated Financial Statements.</w:t>
      </w:r>
    </w:p>
    <w:p>
      <w:pPr>
        <w:spacing w:after="0" w:line="173" w:lineRule="exact"/>
        <w:rPr>
          <w:sz w:val="20"/>
          <w:szCs w:val="20"/>
          <w:color w:val="auto"/>
        </w:rPr>
      </w:pPr>
    </w:p>
    <w:p>
      <w:pPr>
        <w:ind w:right="160" w:firstLine="191"/>
        <w:spacing w:after="0" w:line="253"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to improve the transparency of income tax disclosures, primarily through requiring consistent categories and greater disaggregation in the rate reconciliation and requiring disaggregation of income taxes paid by jurisdiction. This pronouncement is effective for fiscal years beginning after December 15, 2024, and early adoption is permitted. Based on the Company’s review, it does not expect the pronouncement to have any material impact on its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4" w:name="page15"/>
    <w:bookmarkEnd w:id="14"/>
    <w:p>
      <w:pPr>
        <w:ind w:right="7400" w:firstLine="5"/>
        <w:spacing w:after="0" w:line="492" w:lineRule="auto"/>
        <w:tabs>
          <w:tab w:leader="none" w:pos="156"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AND CONTRACTS WITH CUSTOMERS Disaggregation of Revenue</w:t>
      </w:r>
    </w:p>
    <w:p>
      <w:pPr>
        <w:ind w:left="2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presents revenue from SWU and uranium sales disaggregated by geographical region based on the billing addresses of customers (in millions):</w:t>
      </w:r>
    </w:p>
    <w:p>
      <w:pPr>
        <w:spacing w:after="0" w:line="291"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400" w:type="dxa"/>
            <w:vAlign w:val="bottom"/>
            <w:tcBorders>
              <w:bottom w:val="single" w:sz="8" w:color="auto"/>
            </w:tcBorders>
          </w:tcPr>
          <w:p>
            <w:pPr>
              <w:spacing w:after="0"/>
              <w:rPr>
                <w:sz w:val="16"/>
                <w:szCs w:val="16"/>
                <w:color w:val="auto"/>
              </w:rPr>
            </w:pPr>
          </w:p>
        </w:tc>
      </w:tr>
      <w:tr>
        <w:trPr>
          <w:trHeight w:val="176"/>
        </w:trPr>
        <w:tc>
          <w:tcPr>
            <w:tcW w:w="30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Borders>
              <w:bottom w:val="single" w:sz="8" w:color="auto"/>
            </w:tcBorders>
          </w:tcPr>
          <w:p>
            <w:pPr>
              <w:spacing w:after="0"/>
              <w:rPr>
                <w:sz w:val="15"/>
                <w:szCs w:val="15"/>
                <w:color w:val="auto"/>
              </w:rPr>
            </w:pPr>
          </w:p>
        </w:tc>
      </w:tr>
      <w:tr>
        <w:trPr>
          <w:trHeight w:val="172"/>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94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w:t>
            </w:r>
          </w:p>
        </w:tc>
      </w:tr>
      <w:tr>
        <w:trPr>
          <w:trHeight w:val="177"/>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Foreign</w:t>
            </w: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141.9</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w:t>
            </w:r>
          </w:p>
        </w:tc>
      </w:tr>
      <w:tr>
        <w:trPr>
          <w:trHeight w:val="198"/>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 - SWU and uranium</w:t>
            </w: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34.8</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w:t>
            </w: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228.0</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186.9</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firstLine="191"/>
        <w:spacing w:after="0" w:line="235" w:lineRule="auto"/>
        <w:rPr>
          <w:sz w:val="20"/>
          <w:szCs w:val="20"/>
          <w:color w:val="auto"/>
        </w:rPr>
      </w:pPr>
      <w:r>
        <w:rPr>
          <w:rFonts w:ascii="Times New Roman" w:cs="Times New Roman" w:eastAsia="Times New Roman" w:hAnsi="Times New Roman"/>
          <w:sz w:val="16"/>
          <w:szCs w:val="16"/>
          <w:color w:val="auto"/>
        </w:rPr>
        <w:t>Refer to Note 13</w:t>
      </w:r>
      <w:r>
        <w:rPr>
          <w:rFonts w:ascii="Times New Roman" w:cs="Times New Roman" w:eastAsia="Times New Roman" w:hAnsi="Times New Roman"/>
          <w:sz w:val="16"/>
          <w:szCs w:val="16"/>
          <w:i w:val="1"/>
          <w:iCs w:val="1"/>
          <w:color w:val="auto"/>
        </w:rPr>
        <w:t>, Segment Information,</w:t>
      </w:r>
      <w:r>
        <w:rPr>
          <w:rFonts w:ascii="Times New Roman" w:cs="Times New Roman" w:eastAsia="Times New Roman" w:hAnsi="Times New Roman"/>
          <w:sz w:val="16"/>
          <w:szCs w:val="16"/>
          <w:color w:val="auto"/>
        </w:rPr>
        <w:t xml:space="preserve"> for disaggregation of revenue by segment. Revenue for the LEU segment is derived from the sales of the SWU component of LEU, from sales of both the SWU and uranium components, and from sales of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and U</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6"/>
          <w:szCs w:val="16"/>
          <w:color w:val="auto"/>
        </w:rPr>
        <w:t>O</w:t>
      </w:r>
      <w:r>
        <w:rPr>
          <w:rFonts w:ascii="Times New Roman" w:cs="Times New Roman" w:eastAsia="Times New Roman" w:hAnsi="Times New Roman"/>
          <w:sz w:val="20"/>
          <w:szCs w:val="20"/>
          <w:color w:val="auto"/>
          <w:vertAlign w:val="subscript"/>
        </w:rPr>
        <w:t>8</w:t>
      </w:r>
      <w:r>
        <w:rPr>
          <w:rFonts w:ascii="Times New Roman" w:cs="Times New Roman" w:eastAsia="Times New Roman" w:hAnsi="Times New Roman"/>
          <w:sz w:val="16"/>
          <w:szCs w:val="16"/>
          <w:color w:val="auto"/>
        </w:rPr>
        <w:t>, to electric utility customers and other nuclear fuel related companies. Technical Solutions’ revenue is derived from services provided to the U.S. government and its contractors. SWU and uranium revenue is recognized when the customer obtains control of the SWU or uranium components and Technical Solutions’ revenue is generally recognized over time based on direct costs incurred or the right to invoice method (in situations where the value transferred matches the Company’s billing rights) as the customer receives and consumes the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102"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71"/>
        </w:trPr>
        <w:tc>
          <w:tcPr>
            <w:tcW w:w="4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gridSpan w:val="3"/>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60" w:type="dxa"/>
            <w:vAlign w:val="bottom"/>
          </w:tcPr>
          <w:p>
            <w:pPr>
              <w:spacing w:after="0"/>
              <w:rPr>
                <w:sz w:val="14"/>
                <w:szCs w:val="14"/>
                <w:color w:val="auto"/>
              </w:rPr>
            </w:pPr>
          </w:p>
        </w:tc>
      </w:tr>
      <w:tr>
        <w:trPr>
          <w:trHeight w:val="180"/>
        </w:trPr>
        <w:tc>
          <w:tcPr>
            <w:tcW w:w="4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w:t>
            </w: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7"/>
        </w:trPr>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Billed</w:t>
            </w:r>
          </w:p>
        </w:tc>
        <w:tc>
          <w:tcPr>
            <w:tcW w:w="1600" w:type="dxa"/>
            <w:vAlign w:val="bottom"/>
            <w:shd w:val="clear" w:color="auto" w:fill="CCEEFF"/>
          </w:tcPr>
          <w:p>
            <w:pPr>
              <w:jc w:val="right"/>
              <w:ind w:right="148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r>
      <w:tr>
        <w:trPr>
          <w:trHeight w:val="177"/>
        </w:trPr>
        <w:tc>
          <w:tcPr>
            <w:tcW w:w="4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Unbilled *</w:t>
            </w:r>
          </w:p>
        </w:tc>
        <w:tc>
          <w:tcPr>
            <w:tcW w:w="16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99"/>
        </w:trPr>
        <w:tc>
          <w:tcPr>
            <w:tcW w:w="49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Accounts receivable</w:t>
            </w:r>
          </w:p>
        </w:tc>
        <w:tc>
          <w:tcPr>
            <w:tcW w:w="1600" w:type="dxa"/>
            <w:vAlign w:val="bottom"/>
            <w:tcBorders>
              <w:bottom w:val="single" w:sz="8" w:color="auto"/>
            </w:tcBorders>
            <w:shd w:val="clear" w:color="auto" w:fill="CCEEFF"/>
          </w:tcPr>
          <w:p>
            <w:pPr>
              <w:jc w:val="right"/>
              <w:ind w:right="14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19.1</w:t>
            </w: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100" w:right="1060" w:hanging="4"/>
        <w:spacing w:after="0" w:line="252" w:lineRule="auto"/>
        <w:tabs>
          <w:tab w:leader="none" w:pos="1196"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Billings under certain contracts in the Technical Solutions segment are invoiced based on approved provisional billing rates. Unbilled revenue represents the difference between actual costs incurred and invoiced amounts. The Company expects to invoice and collect the unbilled amounts after actual rates are submitted to the customer and approved. Unbilled revenue also includes unconditional rights to payment that are not yet billable under applicable contracts due to timing of invoice processing or pending the compilation of supporting documentation.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Liabilities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presents changes in contract liability balances (in millions):</w:t>
      </w:r>
    </w:p>
    <w:p>
      <w:pPr>
        <w:spacing w:after="0" w:line="88"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2"/>
                <w:szCs w:val="12"/>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2"/>
                <w:szCs w:val="12"/>
                <w:color w:val="auto"/>
              </w:rPr>
            </w:pPr>
          </w:p>
        </w:tc>
        <w:tc>
          <w:tcPr>
            <w:tcW w:w="13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Year-To-Date Change</w:t>
            </w:r>
          </w:p>
        </w:tc>
        <w:tc>
          <w:tcPr>
            <w:tcW w:w="0" w:type="dxa"/>
            <w:vAlign w:val="bottom"/>
          </w:tcPr>
          <w:p>
            <w:pPr>
              <w:spacing w:after="0"/>
              <w:rPr>
                <w:sz w:val="1"/>
                <w:szCs w:val="1"/>
                <w:color w:val="auto"/>
              </w:rPr>
            </w:pPr>
          </w:p>
        </w:tc>
      </w:tr>
      <w:tr>
        <w:trPr>
          <w:trHeight w:val="179"/>
        </w:trPr>
        <w:tc>
          <w:tcPr>
            <w:tcW w:w="4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revenue - current</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0" w:type="dxa"/>
            <w:vAlign w:val="bottom"/>
          </w:tcPr>
          <w:p>
            <w:pPr>
              <w:spacing w:after="0"/>
              <w:rPr>
                <w:sz w:val="1"/>
                <w:szCs w:val="1"/>
                <w:color w:val="auto"/>
              </w:rPr>
            </w:pPr>
          </w:p>
        </w:tc>
      </w:tr>
      <w:tr>
        <w:trPr>
          <w:trHeight w:val="177"/>
        </w:trPr>
        <w:tc>
          <w:tcPr>
            <w:tcW w:w="4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Advances from customers - current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4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84"/>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Advances from customers - noncurrent</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140" w:firstLine="191"/>
        <w:spacing w:after="0" w:line="273" w:lineRule="auto"/>
        <w:rPr>
          <w:sz w:val="20"/>
          <w:szCs w:val="20"/>
          <w:color w:val="auto"/>
        </w:rPr>
      </w:pPr>
      <w:r>
        <w:rPr>
          <w:rFonts w:ascii="Times New Roman" w:cs="Times New Roman" w:eastAsia="Times New Roman" w:hAnsi="Times New Roman"/>
          <w:sz w:val="16"/>
          <w:szCs w:val="16"/>
          <w:color w:val="auto"/>
        </w:rPr>
        <w:t>Previously deferred sales and advances from customers recognized in revenue totaled $99.6 million and $23.6 million in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15" w:name="page16"/>
    <w:bookmarkEnd w:id="15"/>
    <w:p>
      <w:pPr>
        <w:ind w:left="200"/>
        <w:spacing w:after="0"/>
        <w:rPr>
          <w:sz w:val="20"/>
          <w:szCs w:val="20"/>
          <w:color w:val="auto"/>
        </w:rPr>
      </w:pPr>
      <w:r>
        <w:rPr>
          <w:rFonts w:ascii="Times New Roman" w:cs="Times New Roman" w:eastAsia="Times New Roman" w:hAnsi="Times New Roman"/>
          <w:sz w:val="16"/>
          <w:szCs w:val="16"/>
          <w:i w:val="1"/>
          <w:iCs w:val="1"/>
          <w:color w:val="auto"/>
        </w:rPr>
        <w:t>LEU Segment</w:t>
      </w:r>
    </w:p>
    <w:p>
      <w:pPr>
        <w:spacing w:after="0" w:line="200" w:lineRule="exact"/>
        <w:rPr>
          <w:sz w:val="20"/>
          <w:szCs w:val="20"/>
          <w:color w:val="auto"/>
        </w:rPr>
      </w:pPr>
    </w:p>
    <w:p>
      <w:pPr>
        <w:jc w:val="both"/>
        <w:ind w:right="340" w:firstLine="191"/>
        <w:spacing w:after="0" w:line="254" w:lineRule="auto"/>
        <w:rPr>
          <w:sz w:val="20"/>
          <w:szCs w:val="20"/>
          <w:color w:val="auto"/>
        </w:rPr>
      </w:pPr>
      <w:r>
        <w:rPr>
          <w:rFonts w:ascii="Times New Roman" w:cs="Times New Roman" w:eastAsia="Times New Roman" w:hAnsi="Times New Roman"/>
          <w:sz w:val="16"/>
          <w:szCs w:val="16"/>
          <w:color w:val="auto"/>
        </w:rPr>
        <w:t xml:space="preserve">The SWU component of LEU typically is sold under contracts with deliveries over several years. The Company’s agreements for natural uranium hexafluoride and uranium concentrate sales generally are shorter-term, fixed-commitment contracts. </w:t>
      </w:r>
      <w:r>
        <w:rPr>
          <w:rFonts w:ascii="Times New Roman" w:cs="Times New Roman" w:eastAsia="Times New Roman" w:hAnsi="Times New Roman"/>
          <w:sz w:val="16"/>
          <w:szCs w:val="16"/>
          <w:color w:val="0D0D0D"/>
        </w:rPr>
        <w:t>Most of</w:t>
      </w:r>
      <w:r>
        <w:rPr>
          <w:rFonts w:ascii="Times New Roman" w:cs="Times New Roman" w:eastAsia="Times New Roman" w:hAnsi="Times New Roman"/>
          <w:sz w:val="16"/>
          <w:szCs w:val="16"/>
          <w:color w:val="auto"/>
        </w:rPr>
        <w:t xml:space="preserve"> the Company’s </w:t>
      </w:r>
      <w:r>
        <w:rPr>
          <w:rFonts w:ascii="Times New Roman" w:cs="Times New Roman" w:eastAsia="Times New Roman" w:hAnsi="Times New Roman"/>
          <w:sz w:val="16"/>
          <w:szCs w:val="16"/>
          <w:color w:val="0D0D0D"/>
        </w:rPr>
        <w:t>customer contracts provide for fixed purchases of SWU during a given year.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D0D0D"/>
        </w:rPr>
        <w:t>Depending on the terms of specific contracts, the customer may be able to increase or decrease the quantity delivered within an agreed range.</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Technical Solutions Segment</w:t>
      </w:r>
    </w:p>
    <w:p>
      <w:pPr>
        <w:spacing w:after="0" w:line="200" w:lineRule="exact"/>
        <w:rPr>
          <w:sz w:val="20"/>
          <w:szCs w:val="20"/>
          <w:color w:val="auto"/>
        </w:rPr>
      </w:pPr>
    </w:p>
    <w:p>
      <w:pPr>
        <w:ind w:right="120" w:firstLine="191"/>
        <w:spacing w:after="0" w:line="273" w:lineRule="auto"/>
        <w:rPr>
          <w:sz w:val="20"/>
          <w:szCs w:val="20"/>
          <w:color w:val="auto"/>
        </w:rPr>
      </w:pPr>
      <w:r>
        <w:rPr>
          <w:rFonts w:ascii="Times New Roman" w:cs="Times New Roman" w:eastAsia="Times New Roman" w:hAnsi="Times New Roman"/>
          <w:sz w:val="16"/>
          <w:szCs w:val="16"/>
          <w:color w:val="auto"/>
        </w:rPr>
        <w:t>Revenue for the Technical Solutions segment, representing the Company’s technical, manufacturing, engineering, procurement, construction, and operations services offered to public and private sector customers, is recognized over the contractual period as services are rendered.</w:t>
      </w:r>
    </w:p>
    <w:p>
      <w:pPr>
        <w:spacing w:after="0" w:line="144" w:lineRule="exact"/>
        <w:rPr>
          <w:sz w:val="20"/>
          <w:szCs w:val="20"/>
          <w:color w:val="auto"/>
        </w:rPr>
      </w:pPr>
    </w:p>
    <w:p>
      <w:pPr>
        <w:ind w:right="60" w:firstLine="191"/>
        <w:spacing w:after="0" w:line="252" w:lineRule="auto"/>
        <w:rPr>
          <w:sz w:val="20"/>
          <w:szCs w:val="20"/>
          <w:color w:val="auto"/>
        </w:rPr>
      </w:pPr>
      <w:r>
        <w:rPr>
          <w:rFonts w:ascii="Times New Roman" w:cs="Times New Roman" w:eastAsia="Times New Roman" w:hAnsi="Times New Roman"/>
          <w:sz w:val="16"/>
          <w:szCs w:val="16"/>
          <w:color w:val="auto"/>
        </w:rPr>
        <w:t>Under the 2019 HALEU Demonstration Contract, the Company constructed a cascade of 16 centrifuges to demonstrate production of HALEU for advanced reactors. The DOE agreed to reimburse the Company for 80% of its costs incurred in performing the contract. The DOE has funded the contract up to $173.0 million with a period of performance that ended November 30, 2022. The Company recorded revenue up to the funded amount of $173.0 million and received aggregate cash payments under the HALEU Demonstration Contract of $171.2 million through September 30, 2024. Closeout activities on the HALEU Demonstration Contract are ongoing.</w:t>
      </w:r>
    </w:p>
    <w:p>
      <w:pPr>
        <w:spacing w:after="0" w:line="172" w:lineRule="exact"/>
        <w:rPr>
          <w:sz w:val="20"/>
          <w:szCs w:val="20"/>
          <w:color w:val="auto"/>
        </w:rPr>
      </w:pPr>
    </w:p>
    <w:p>
      <w:pPr>
        <w:ind w:right="20" w:firstLine="191"/>
        <w:spacing w:after="0" w:line="237" w:lineRule="auto"/>
        <w:rPr>
          <w:sz w:val="20"/>
          <w:szCs w:val="20"/>
          <w:color w:val="auto"/>
        </w:rPr>
      </w:pPr>
      <w:r>
        <w:rPr>
          <w:rFonts w:ascii="Times New Roman" w:cs="Times New Roman" w:eastAsia="Times New Roman" w:hAnsi="Times New Roman"/>
          <w:sz w:val="16"/>
          <w:szCs w:val="16"/>
          <w:color w:val="auto"/>
        </w:rPr>
        <w:t>The DOE elected to move the operational portion of the HALEU Demonstration Contract to a subsequent, competitively awarded contract and, on November 10, 2022, the DOE awarded the HALEU Operation Contract to the Company, and work began on December 1, 2022. The base contract value is approximately $150 million with two phases through 2024. Phase 1 included an approximately $30 million cost-share contribution from Centrus matched by approximately $30 million from the DOE to complete construction of the cascade, begin operations and produce the initial 20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by no later than December 31, 2023. On October 11, 2023, the Company announced that it began enrichment operations in Piketon, Ohio. On November 7, 2023, the Company announced that it made its first delivery of HALEU to the DOE, completing Phase 1 by successfully demonstrating its HALEU production process.</w:t>
      </w:r>
    </w:p>
    <w:p>
      <w:pPr>
        <w:spacing w:after="0" w:line="112" w:lineRule="exact"/>
        <w:rPr>
          <w:sz w:val="20"/>
          <w:szCs w:val="20"/>
          <w:color w:val="auto"/>
        </w:rPr>
      </w:pPr>
    </w:p>
    <w:p>
      <w:pPr>
        <w:ind w:firstLine="191"/>
        <w:spacing w:after="0" w:line="251" w:lineRule="auto"/>
        <w:rPr>
          <w:sz w:val="20"/>
          <w:szCs w:val="20"/>
          <w:color w:val="auto"/>
        </w:rPr>
      </w:pPr>
      <w:r>
        <w:rPr>
          <w:rFonts w:ascii="Times New Roman" w:cs="Times New Roman" w:eastAsia="Times New Roman" w:hAnsi="Times New Roman"/>
          <w:sz w:val="16"/>
          <w:szCs w:val="16"/>
          <w:color w:val="auto"/>
        </w:rPr>
        <w:t>Phase 2 of the HALEU Operation Contract includes production of 900 kilograms per year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as well as continued operations and maintenance. The DOE owns the HALEU produced from the demonstration cascade and Centrus is being compensated on a cost-plus-incentive-fee basis, with an expected Phase 2 contract value of approximately $90 million, subject to Congressional appropriations. The HALEU Operation Contract also gives DOE options to pay for up to nine additional years of production from the cascade beyond the base contract; those options are at the DOE’s sole discretion and subject to the availability of Congressional appropriations. Pursuant to an amendment to the Company’s lease for the Piketon facility, the DOE assumed all D&amp;D liabilities arising out of the HALEU Operation Contract.</w:t>
      </w:r>
    </w:p>
    <w:p>
      <w:pPr>
        <w:spacing w:after="0" w:line="172" w:lineRule="exact"/>
        <w:rPr>
          <w:sz w:val="20"/>
          <w:szCs w:val="20"/>
          <w:color w:val="auto"/>
        </w:rPr>
      </w:pPr>
    </w:p>
    <w:p>
      <w:pPr>
        <w:ind w:right="80" w:firstLine="191"/>
        <w:spacing w:after="0" w:line="234" w:lineRule="auto"/>
        <w:rPr>
          <w:sz w:val="20"/>
          <w:szCs w:val="20"/>
          <w:color w:val="auto"/>
        </w:rPr>
      </w:pPr>
      <w:r>
        <w:rPr>
          <w:rFonts w:ascii="Times New Roman" w:cs="Times New Roman" w:eastAsia="Times New Roman" w:hAnsi="Times New Roman"/>
          <w:sz w:val="16"/>
          <w:szCs w:val="16"/>
          <w:color w:val="auto"/>
        </w:rPr>
        <w:t>Under the HALEU Operation Contract, DOE is obligated to provide the 5B Cylinders necessary to collect the output of the cascade, but supply chain challenges have created difficulties for DOE in securing enough 5B Cylinders for the entire production year. Centrus’ delivery of the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which it no longer can achieve by November 2024, was conditioned on the DOE’s ability to provide the 5B Cylinders on a timeline that allows for continuous production throughout Phase 2 of the contract. During time periods when 5B Cylinders are insufficient, the Company is able to continue operation of the cascade, but is not able to produce HALEU. The 9% target fee for Phase 2 of the contract was estimated to be $7.5 million based on the estimated costs for the contract and is subject to a contract minimum fee of $6.9 million.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16" w:name="page17"/>
    <w:bookmarkEnd w:id="16"/>
    <w:p>
      <w:pPr>
        <w:ind w:right="100" w:firstLine="191"/>
        <w:spacing w:after="0" w:line="248" w:lineRule="auto"/>
        <w:rPr>
          <w:sz w:val="20"/>
          <w:szCs w:val="20"/>
          <w:color w:val="auto"/>
        </w:rPr>
      </w:pPr>
      <w:r>
        <w:rPr>
          <w:rFonts w:ascii="Times New Roman" w:cs="Times New Roman" w:eastAsia="Times New Roman" w:hAnsi="Times New Roman"/>
          <w:sz w:val="16"/>
          <w:szCs w:val="16"/>
          <w:color w:val="auto"/>
        </w:rPr>
        <w:t>To support the DOE in mitigating the risk of further delays in delivery of 5B Cylinders, the Company received technical direction and a contract modification from the DOE to procure compliant 5B Cylinders and components. The contractual obligation to furnish compliant 5B Cylinders under the HALEU Operation Contract continues to rest with the DOE. In accordance with the HALEU Operation Contract, the Company has submitted several change order requests for work being performed on infrastructure, facility repairs, and 5B Cylinders. The additional work is being performed under the DOE’s technical direction or contract modifications. On September 28, 2023, the DOE modified the HALEU Operation Contract to incorporate additional scope, not subject to cost-share reimbursement, for infrastructure and facility repairs, and costs associated with 5B Cylinder refurbishment, for an estimated additional contract value of $6.2 million. The DOE is currently obligated for costs up to approximately $6.2 million for the additional scope under the HALEU Operation Contract.</w:t>
      </w:r>
    </w:p>
    <w:p>
      <w:pPr>
        <w:spacing w:after="0" w:line="165"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 xml:space="preserve">Costs under the HALEU Operation Contract include program costs, including direct labor and materials and associated indirect costs that are classified as Cost of Sales, and an allocation of corporate costs supporting the program that are classified as </w:t>
      </w:r>
      <w:r>
        <w:rPr>
          <w:rFonts w:ascii="Times New Roman" w:cs="Times New Roman" w:eastAsia="Times New Roman" w:hAnsi="Times New Roman"/>
          <w:sz w:val="16"/>
          <w:szCs w:val="16"/>
          <w:i w:val="1"/>
          <w:iCs w:val="1"/>
          <w:color w:val="auto"/>
        </w:rPr>
        <w:t>Selling, General and Administrative Expenses</w:t>
      </w:r>
      <w:r>
        <w:rPr>
          <w:rFonts w:ascii="Times New Roman" w:cs="Times New Roman" w:eastAsia="Times New Roman" w:hAnsi="Times New Roman"/>
          <w:sz w:val="16"/>
          <w:szCs w:val="16"/>
          <w:color w:val="auto"/>
        </w:rPr>
        <w:t xml:space="preserve">. When estimates of program costs to be incurred for an integrated, construction-type contract exceed estimates of total revenue to be earned, a provision for the remaining loss on the contract is recorded to Cost of Sales in the period the loss is determined. The Company’s corporate costs supporting the program are recognized as expense as incurred over the duration of the contract term. The Company recorded an accrued loss of $21.3 million related to anticipated cost-share reimbursement under the HALEU Operation Contract in </w:t>
      </w:r>
      <w:r>
        <w:rPr>
          <w:rFonts w:ascii="Times New Roman" w:cs="Times New Roman" w:eastAsia="Times New Roman" w:hAnsi="Times New Roman"/>
          <w:sz w:val="16"/>
          <w:szCs w:val="16"/>
          <w:i w:val="1"/>
          <w:iCs w:val="1"/>
          <w:color w:val="auto"/>
        </w:rPr>
        <w:t>Cost of Sales</w:t>
      </w:r>
      <w:r>
        <w:rPr>
          <w:rFonts w:ascii="Times New Roman" w:cs="Times New Roman" w:eastAsia="Times New Roman" w:hAnsi="Times New Roman"/>
          <w:sz w:val="16"/>
          <w:szCs w:val="16"/>
          <w:color w:val="auto"/>
        </w:rPr>
        <w:t xml:space="preserve"> in December 2022. The accrued loss on the contract was adjusted over the contract term based on actual results and remaining program cost projections through December 31, 2023. The impact to </w:t>
      </w:r>
      <w:r>
        <w:rPr>
          <w:rFonts w:ascii="Times New Roman" w:cs="Times New Roman" w:eastAsia="Times New Roman" w:hAnsi="Times New Roman"/>
          <w:sz w:val="16"/>
          <w:szCs w:val="16"/>
          <w:i w:val="1"/>
          <w:iCs w:val="1"/>
          <w:color w:val="auto"/>
        </w:rPr>
        <w:t>Cost of Sales</w:t>
      </w:r>
      <w:r>
        <w:rPr>
          <w:rFonts w:ascii="Times New Roman" w:cs="Times New Roman" w:eastAsia="Times New Roman" w:hAnsi="Times New Roman"/>
          <w:sz w:val="16"/>
          <w:szCs w:val="16"/>
          <w:color w:val="auto"/>
        </w:rPr>
        <w:t xml:space="preserve"> in the three and nine months ended September 30, 2023 was $5.4 million and $16.7 million, respectively, for previously accrued contract losses attributable to work performed in those periods. The HALEU Operation Contract is funded incrementally, and the DOE currently is obligated for costs up to approximately $118.4 million of the $126.3 million estimated transaction price for Phase 1, Phase 2, and additional scope work. The Company has received aggregate cash payments under the HALEU Operation Contract of $95.2 million through September 30, 2024.</w:t>
      </w:r>
    </w:p>
    <w:p>
      <w:pPr>
        <w:spacing w:after="0" w:line="165" w:lineRule="exact"/>
        <w:rPr>
          <w:sz w:val="20"/>
          <w:szCs w:val="20"/>
          <w:color w:val="auto"/>
        </w:rPr>
      </w:pPr>
    </w:p>
    <w:p>
      <w:pPr>
        <w:ind w:right="100" w:firstLine="191"/>
        <w:spacing w:after="0" w:line="346" w:lineRule="auto"/>
        <w:rPr>
          <w:sz w:val="20"/>
          <w:szCs w:val="20"/>
          <w:color w:val="auto"/>
        </w:rPr>
      </w:pPr>
      <w:r>
        <w:rPr>
          <w:rFonts w:ascii="Times New Roman" w:cs="Times New Roman" w:eastAsia="Times New Roman" w:hAnsi="Times New Roman"/>
          <w:sz w:val="14"/>
          <w:szCs w:val="14"/>
          <w:color w:val="auto"/>
        </w:rPr>
        <w:t>The Company does not have a contractual obligation to perform work in excess of the funding provided by the DOE. If the DOE does not commit to additional costs above the existing funding, the Company may incur material additional costs or losses in future periods that could have an adverse impact on its financial condition and liquidity.</w:t>
      </w:r>
    </w:p>
    <w:p>
      <w:pPr>
        <w:spacing w:after="0" w:line="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Remaining Performance Obligations</w:t>
      </w:r>
    </w:p>
    <w:p>
      <w:pPr>
        <w:spacing w:after="0" w:line="200" w:lineRule="exact"/>
        <w:rPr>
          <w:sz w:val="20"/>
          <w:szCs w:val="20"/>
          <w:color w:val="auto"/>
        </w:rPr>
      </w:pPr>
    </w:p>
    <w:p>
      <w:pPr>
        <w:ind w:right="40" w:firstLine="191"/>
        <w:spacing w:after="0" w:line="254" w:lineRule="auto"/>
        <w:rPr>
          <w:sz w:val="20"/>
          <w:szCs w:val="20"/>
          <w:color w:val="auto"/>
        </w:rPr>
      </w:pPr>
      <w:r>
        <w:rPr>
          <w:rFonts w:ascii="Times New Roman" w:cs="Times New Roman" w:eastAsia="Times New Roman" w:hAnsi="Times New Roman"/>
          <w:sz w:val="16"/>
          <w:szCs w:val="16"/>
          <w:color w:val="auto"/>
        </w:rPr>
        <w:t>The Company’s remaining performance obligations represent the aggregate amount of total contract transaction price that is unsatisfied or partially unsatisfied. Performance obligations are recognized as revenue in future periods as work is performed or deliveries of SWU and uranium are made. The Company’s total remaining performance obligations were $0.8 billion and $1.0 billion as of September 30, 2024, and December 31, 2023, respectively, and extend to 2030.</w:t>
      </w:r>
    </w:p>
    <w:p>
      <w:pPr>
        <w:spacing w:after="0" w:line="169" w:lineRule="exact"/>
        <w:rPr>
          <w:sz w:val="20"/>
          <w:szCs w:val="20"/>
          <w:color w:val="auto"/>
        </w:rPr>
      </w:pPr>
    </w:p>
    <w:p>
      <w:pPr>
        <w:ind w:right="60" w:firstLine="191"/>
        <w:spacing w:after="0" w:line="287" w:lineRule="auto"/>
        <w:rPr>
          <w:sz w:val="20"/>
          <w:szCs w:val="20"/>
          <w:color w:val="auto"/>
        </w:rPr>
      </w:pPr>
      <w:r>
        <w:rPr>
          <w:rFonts w:ascii="Times New Roman" w:cs="Times New Roman" w:eastAsia="Times New Roman" w:hAnsi="Times New Roman"/>
          <w:sz w:val="14"/>
          <w:szCs w:val="14"/>
          <w:color w:val="auto"/>
        </w:rPr>
        <w:t xml:space="preserve">The remaining performance obligations in the LEU segment primarily related to medium and long-term contracts with fixed commitments, were approximately $0.8 billion and $1.0 billion for September 30, 2024, and December 31, 2023, respectively, and extend to 2030. The remaining performance obligations represent the estimated aggregate dollar amount of revenue for future SWU and uranium deliveries and includes approximately $223 million and $315 million of </w:t>
      </w:r>
      <w:r>
        <w:rPr>
          <w:rFonts w:ascii="Times New Roman" w:cs="Times New Roman" w:eastAsia="Times New Roman" w:hAnsi="Times New Roman"/>
          <w:sz w:val="14"/>
          <w:szCs w:val="14"/>
          <w:i w:val="1"/>
          <w:iCs w:val="1"/>
          <w:color w:val="auto"/>
        </w:rPr>
        <w:t>Deferred Revenue and Advances from Customers</w:t>
      </w:r>
      <w:r>
        <w:rPr>
          <w:rFonts w:ascii="Times New Roman" w:cs="Times New Roman" w:eastAsia="Times New Roman" w:hAnsi="Times New Roman"/>
          <w:sz w:val="14"/>
          <w:szCs w:val="14"/>
          <w:color w:val="auto"/>
        </w:rPr>
        <w:t xml:space="preserve"> at September 30, 2024, and December 31, 2023, respectively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D0D0D"/>
        </w:rPr>
        <w:t>T</w:t>
      </w:r>
      <w:r>
        <w:rPr>
          <w:rFonts w:ascii="Times New Roman" w:cs="Times New Roman" w:eastAsia="Times New Roman" w:hAnsi="Times New Roman"/>
          <w:sz w:val="14"/>
          <w:szCs w:val="14"/>
          <w:color w:val="auto"/>
        </w:rPr>
        <w:t xml:space="preserve">he </w:t>
      </w:r>
      <w:r>
        <w:rPr>
          <w:rFonts w:ascii="Times New Roman" w:cs="Times New Roman" w:eastAsia="Times New Roman" w:hAnsi="Times New Roman"/>
          <w:sz w:val="14"/>
          <w:szCs w:val="14"/>
          <w:color w:val="0D0D0D"/>
        </w:rPr>
        <w:t>remaining performance obligations are partially based on customer estimates of the timing and size of their fuel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D0D0D"/>
        </w:rPr>
        <w:t>requirements and other assumptions that are subject to change. T</w:t>
      </w:r>
      <w:r>
        <w:rPr>
          <w:rFonts w:ascii="Times New Roman" w:cs="Times New Roman" w:eastAsia="Times New Roman" w:hAnsi="Times New Roman"/>
          <w:sz w:val="14"/>
          <w:szCs w:val="14"/>
          <w:color w:val="000000"/>
        </w:rPr>
        <w:t>he</w:t>
      </w:r>
      <w:r>
        <w:rPr>
          <w:rFonts w:ascii="Times New Roman" w:cs="Times New Roman" w:eastAsia="Times New Roman" w:hAnsi="Times New Roman"/>
          <w:sz w:val="14"/>
          <w:szCs w:val="14"/>
          <w:color w:val="0D0D0D"/>
        </w:rPr>
        <w:t xml:space="preserve"> remaining performance obligations include estimates of selling prices, which may be subject to change. Depending on the terms of specific contracts, prices may be adjusted based on escalation using a general inflation index, published SWU price indicators prevailing at the time of delivery, and other factors, all of which are variable. T</w:t>
      </w:r>
      <w:r>
        <w:rPr>
          <w:rFonts w:ascii="Times New Roman" w:cs="Times New Roman" w:eastAsia="Times New Roman" w:hAnsi="Times New Roman"/>
          <w:sz w:val="14"/>
          <w:szCs w:val="14"/>
          <w:color w:val="000000"/>
        </w:rPr>
        <w:t>he Company</w:t>
      </w:r>
      <w:r>
        <w:rPr>
          <w:rFonts w:ascii="Times New Roman" w:cs="Times New Roman" w:eastAsia="Times New Roman" w:hAnsi="Times New Roman"/>
          <w:sz w:val="14"/>
          <w:szCs w:val="14"/>
          <w:color w:val="0D0D0D"/>
        </w:rPr>
        <w:t xml:space="preserve"> uses external composite forecasts of future market prices and inflation rates in its pricing estimates.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7" w:right="399" w:bottom="1440" w:gutter="0" w:footer="0" w:header="0"/>
        </w:sectPr>
      </w:pPr>
    </w:p>
    <w:bookmarkStart w:id="17" w:name="page18"/>
    <w:bookmarkEnd w:id="17"/>
    <w:p>
      <w:pPr>
        <w:ind w:firstLine="191"/>
        <w:spacing w:after="0" w:line="248" w:lineRule="auto"/>
        <w:rPr>
          <w:sz w:val="20"/>
          <w:szCs w:val="20"/>
          <w:color w:val="auto"/>
        </w:rPr>
      </w:pPr>
      <w:r>
        <w:rPr>
          <w:rFonts w:ascii="Times New Roman" w:cs="Times New Roman" w:eastAsia="Times New Roman" w:hAnsi="Times New Roman"/>
          <w:sz w:val="16"/>
          <w:szCs w:val="16"/>
          <w:color w:val="auto"/>
        </w:rPr>
        <w:t>The remaining performance obligations in the Technical Solutions segment were approximately $18.0 million and $77.0 million, as of September 30, 2024, and December 31, 2023, respectively, and extend to 2026. The remaining performance obligations in Technical Solutions include both funded (services for which funding has been both authorized and appropriated by the customer) and unfunded (services for which funding has not been appropriated) amounts. The Company does not include unexercised options or potential services under indefinite-delivery, indefinite-quantity agreements in its remaining performance obligations. If any of the Company’s contracts were to be terminated, its remaining performance obligations would be reduced by the expected value of the cancelled performance obligations of such contracts.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CASH, CASH EQUIVALENTS AND RESTRICTED CASH</w:t>
      </w:r>
    </w:p>
    <w:p>
      <w:pPr>
        <w:spacing w:after="0" w:line="200" w:lineRule="exact"/>
        <w:rPr>
          <w:sz w:val="20"/>
          <w:szCs w:val="20"/>
          <w:color w:val="auto"/>
        </w:rPr>
      </w:pPr>
    </w:p>
    <w:p>
      <w:pPr>
        <w:ind w:right="380" w:firstLine="191"/>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cash, cash equivalents and restricted cash as presented on the Consolidated Balance Sheets to amounts on the Consolidated Statements of Cash Flows (in millions):</w:t>
      </w:r>
    </w:p>
    <w:p>
      <w:pPr>
        <w:spacing w:after="0" w:line="67"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60" w:type="dxa"/>
            <w:vAlign w:val="bottom"/>
          </w:tcPr>
          <w:p>
            <w:pPr>
              <w:spacing w:after="0"/>
              <w:rPr>
                <w:sz w:val="16"/>
                <w:szCs w:val="16"/>
                <w:color w:val="auto"/>
              </w:rPr>
            </w:pPr>
          </w:p>
        </w:tc>
        <w:tc>
          <w:tcPr>
            <w:tcW w:w="14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78"/>
        </w:trPr>
        <w:tc>
          <w:tcPr>
            <w:tcW w:w="53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r>
      <w:tr>
        <w:trPr>
          <w:trHeight w:val="177"/>
        </w:trPr>
        <w:tc>
          <w:tcPr>
            <w:tcW w:w="5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Deposits for financial assurance - current (a)</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84"/>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Deposits for financial assurance - noncurrent</w:t>
            </w: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r>
      <w:tr>
        <w:trPr>
          <w:trHeight w:val="170"/>
        </w:trPr>
        <w:tc>
          <w:tcPr>
            <w:tcW w:w="53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 cash, cash equivalents and restricted cash</w:t>
            </w: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226.9</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233.8</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(a) Deposits for financial assurance - current is included within </w:t>
      </w:r>
      <w:r>
        <w:rPr>
          <w:rFonts w:ascii="Times New Roman" w:cs="Times New Roman" w:eastAsia="Times New Roman" w:hAnsi="Times New Roman"/>
          <w:sz w:val="14"/>
          <w:szCs w:val="14"/>
          <w:i w:val="1"/>
          <w:iCs w:val="1"/>
          <w:color w:val="auto"/>
        </w:rPr>
        <w:t>Other Current Assets</w:t>
      </w:r>
      <w:r>
        <w:rPr>
          <w:rFonts w:ascii="Times New Roman" w:cs="Times New Roman" w:eastAsia="Times New Roman" w:hAnsi="Times New Roman"/>
          <w:sz w:val="14"/>
          <w:szCs w:val="14"/>
          <w:color w:val="auto"/>
        </w:rPr>
        <w:t xml:space="preserve"> in the Consolidated Balance Sheets.</w:t>
      </w:r>
    </w:p>
    <w:p>
      <w:pPr>
        <w:spacing w:after="0" w:line="198" w:lineRule="exact"/>
        <w:rPr>
          <w:sz w:val="20"/>
          <w:szCs w:val="20"/>
          <w:color w:val="auto"/>
        </w:rPr>
      </w:pPr>
    </w:p>
    <w:p>
      <w:pPr>
        <w:ind w:right="140" w:firstLine="191"/>
        <w:spacing w:after="0" w:line="346" w:lineRule="auto"/>
        <w:rPr>
          <w:sz w:val="20"/>
          <w:szCs w:val="20"/>
          <w:color w:val="auto"/>
        </w:rPr>
      </w:pPr>
      <w:r>
        <w:rPr>
          <w:rFonts w:ascii="Times New Roman" w:cs="Times New Roman" w:eastAsia="Times New Roman" w:hAnsi="Times New Roman"/>
          <w:sz w:val="14"/>
          <w:szCs w:val="14"/>
          <w:color w:val="auto"/>
        </w:rPr>
        <w:t>The Company has $0.4 million and $6.8 million denominated in euros as of September 30, 2024 and December 31, 2023, respectively, and recorded less than $0.1 million in transaction losses in both the three and nine months ended September 30, 2024 and $0.6 million in transaction losses in both the three and nine months ended September 30, 2023.</w:t>
      </w:r>
    </w:p>
    <w:p>
      <w:pPr>
        <w:spacing w:after="0" w:line="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provides additional detail regarding the Company’s deposits for financial assurance (in millions):</w:t>
      </w:r>
    </w:p>
    <w:p>
      <w:pPr>
        <w:spacing w:after="0" w:line="3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71"/>
        </w:trPr>
        <w:tc>
          <w:tcPr>
            <w:tcW w:w="40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00" w:type="dxa"/>
            <w:vAlign w:val="bottom"/>
          </w:tcPr>
          <w:p>
            <w:pPr>
              <w:spacing w:after="0"/>
              <w:rPr>
                <w:sz w:val="14"/>
                <w:szCs w:val="14"/>
                <w:color w:val="auto"/>
              </w:rPr>
            </w:pP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Long-Term</w:t>
            </w:r>
          </w:p>
        </w:tc>
      </w:tr>
      <w:tr>
        <w:trPr>
          <w:trHeight w:val="180"/>
        </w:trPr>
        <w:tc>
          <w:tcPr>
            <w:tcW w:w="4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Collateral for Inventory Loans</w:t>
            </w:r>
          </w:p>
        </w:tc>
        <w:tc>
          <w:tcPr>
            <w:tcW w:w="900" w:type="dxa"/>
            <w:vAlign w:val="bottom"/>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220" w:type="dxa"/>
            <w:vAlign w:val="bottom"/>
          </w:tcPr>
          <w:p>
            <w:pPr>
              <w:spacing w:after="0"/>
              <w:rPr>
                <w:sz w:val="15"/>
                <w:szCs w:val="15"/>
                <w:color w:val="auto"/>
              </w:rPr>
            </w:pPr>
          </w:p>
        </w:tc>
        <w:tc>
          <w:tcPr>
            <w:tcW w:w="940" w:type="dxa"/>
            <w:vAlign w:val="bottom"/>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r>
      <w:tr>
        <w:trPr>
          <w:trHeight w:val="187"/>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Workers Compensation</w:t>
            </w:r>
          </w:p>
        </w:tc>
        <w:tc>
          <w:tcPr>
            <w:tcW w:w="9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7"/>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98"/>
        </w:trPr>
        <w:tc>
          <w:tcPr>
            <w:tcW w:w="4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deposits for financial assurance</w:t>
            </w: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30.0</w:t>
            </w: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In March, May, and October 2022, the Company entered into three inventory loans that each required a cash deposit into an escrow fund (see Note 4</w:t>
      </w:r>
      <w:r>
        <w:rPr>
          <w:rFonts w:ascii="Times New Roman" w:cs="Times New Roman" w:eastAsia="Times New Roman" w:hAnsi="Times New Roman"/>
          <w:sz w:val="16"/>
          <w:szCs w:val="16"/>
          <w:i w:val="1"/>
          <w:iCs w:val="1"/>
          <w:color w:val="auto"/>
        </w:rPr>
        <w:t>, Inventories).</w:t>
      </w:r>
      <w:r>
        <w:rPr>
          <w:rFonts w:ascii="Times New Roman" w:cs="Times New Roman" w:eastAsia="Times New Roman" w:hAnsi="Times New Roman"/>
          <w:sz w:val="16"/>
          <w:szCs w:val="16"/>
          <w:color w:val="auto"/>
        </w:rPr>
        <w:t xml:space="preserve"> The Company has provided financial assurance to states in which it was previously self-insured for workers’ compensation in accordance with each state’s requirements in the form of a surety bond or deposit that is fully cash collateralized by the Company. Each surety bond or deposit is subject to reduction and/or cancellation, as each state determines the likely reduction of workers’ compensation obligations pertaining to the period of self-insurance.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4. INVENTORIES</w:t>
      </w:r>
    </w:p>
    <w:p>
      <w:pPr>
        <w:spacing w:after="0" w:line="200" w:lineRule="exact"/>
        <w:rPr>
          <w:sz w:val="20"/>
          <w:szCs w:val="20"/>
          <w:color w:val="auto"/>
        </w:rPr>
      </w:pPr>
    </w:p>
    <w:p>
      <w:pPr>
        <w:ind w:right="40" w:firstLine="191"/>
        <w:spacing w:after="0" w:line="254" w:lineRule="auto"/>
        <w:rPr>
          <w:sz w:val="20"/>
          <w:szCs w:val="20"/>
          <w:color w:val="auto"/>
        </w:rPr>
      </w:pPr>
      <w:r>
        <w:rPr>
          <w:rFonts w:ascii="Times New Roman" w:cs="Times New Roman" w:eastAsia="Times New Roman" w:hAnsi="Times New Roman"/>
          <w:sz w:val="16"/>
          <w:szCs w:val="16"/>
          <w:color w:val="auto"/>
        </w:rPr>
        <w:t>Centrus holds uranium at licensed locations (e.g., fabricators) in the form of natural uranium hexafluoride and as the uranium component of LEU in transit to meet book transfer requests by customers and suppliers. Centrus also holds SWU as the SWU component of LEU at licensed locations or in transit to meet book transfer requests by customers and suppliers. Fabricators process LEU into fuel for use in nuclear reactors. Components of inventories are as follows (in millions):</w:t>
      </w:r>
    </w:p>
    <w:p>
      <w:pPr>
        <w:spacing w:after="0" w:line="262"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80" w:type="dxa"/>
            <w:vAlign w:val="bottom"/>
          </w:tcPr>
          <w:p>
            <w:pPr>
              <w:spacing w:after="0"/>
              <w:rPr>
                <w:sz w:val="10"/>
                <w:szCs w:val="10"/>
                <w:color w:val="auto"/>
              </w:rPr>
            </w:pPr>
          </w:p>
        </w:tc>
        <w:tc>
          <w:tcPr>
            <w:tcW w:w="104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1"/>
                <w:szCs w:val="11"/>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Inventories, Net</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1"/>
                <w:szCs w:val="11"/>
                <w:color w:val="auto"/>
              </w:rPr>
            </w:pPr>
          </w:p>
        </w:tc>
        <w:tc>
          <w:tcPr>
            <w:tcW w:w="112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Inventories, Net</w:t>
            </w: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Separative work units</w:t>
            </w: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77"/>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Uranium</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187.0</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0" w:type="dxa"/>
            <w:vAlign w:val="bottom"/>
          </w:tcPr>
          <w:p>
            <w:pPr>
              <w:spacing w:after="0"/>
              <w:rPr>
                <w:sz w:val="1"/>
                <w:szCs w:val="1"/>
                <w:color w:val="auto"/>
              </w:rPr>
            </w:pPr>
          </w:p>
        </w:tc>
      </w:tr>
      <w:tr>
        <w:trPr>
          <w:trHeight w:val="199"/>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190.7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189.9</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306.4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222.1</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This includes inventories owed to suppliers for advances of uranium.</w:t>
      </w: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Inventories are valued at the lower of cost or net realizable value.</w:t>
      </w:r>
    </w:p>
    <w:p>
      <w:pPr>
        <w:spacing w:after="0" w:line="187" w:lineRule="exact"/>
        <w:rPr>
          <w:sz w:val="20"/>
          <w:szCs w:val="20"/>
          <w:color w:val="auto"/>
        </w:rPr>
      </w:pPr>
    </w:p>
    <w:p>
      <w:pPr>
        <w:ind w:right="200" w:firstLine="191"/>
        <w:spacing w:after="0" w:line="230" w:lineRule="auto"/>
        <w:rPr>
          <w:sz w:val="20"/>
          <w:szCs w:val="20"/>
          <w:color w:val="auto"/>
        </w:rPr>
      </w:pPr>
      <w:r>
        <w:rPr>
          <w:rFonts w:ascii="Times New Roman" w:cs="Times New Roman" w:eastAsia="Times New Roman" w:hAnsi="Times New Roman"/>
          <w:sz w:val="16"/>
          <w:szCs w:val="16"/>
          <w:color w:val="auto"/>
        </w:rPr>
        <w:t>The Company may borrow SWU or uranium from customers or suppliers, in which case the Company will record the SWU and/or uranium and the related liability for the borrowing using a projected and forecasted purchase price over the borrowing period. In March 2023, the Company borrowed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which was recorded to inventory at a value of $22.5 million, based on the estimated fair market value of the inventory on the date of borrowing.</w:t>
      </w:r>
    </w:p>
    <w:p>
      <w:pPr>
        <w:spacing w:after="0" w:line="178" w:lineRule="exact"/>
        <w:rPr>
          <w:sz w:val="20"/>
          <w:szCs w:val="20"/>
          <w:color w:val="auto"/>
        </w:rPr>
      </w:pPr>
    </w:p>
    <w:p>
      <w:pPr>
        <w:ind w:firstLine="191"/>
        <w:spacing w:after="0" w:line="255" w:lineRule="auto"/>
        <w:rPr>
          <w:sz w:val="20"/>
          <w:szCs w:val="20"/>
          <w:color w:val="auto"/>
        </w:rPr>
      </w:pPr>
      <w:r>
        <w:rPr>
          <w:rFonts w:ascii="Times New Roman" w:cs="Times New Roman" w:eastAsia="Times New Roman" w:hAnsi="Times New Roman"/>
          <w:sz w:val="16"/>
          <w:szCs w:val="16"/>
          <w:color w:val="auto"/>
        </w:rPr>
        <w:t xml:space="preserve">The Company performs quarterly revaluations of </w:t>
      </w:r>
      <w:r>
        <w:rPr>
          <w:rFonts w:ascii="Times New Roman" w:cs="Times New Roman" w:eastAsia="Times New Roman" w:hAnsi="Times New Roman"/>
          <w:sz w:val="16"/>
          <w:szCs w:val="16"/>
          <w:i w:val="1"/>
          <w:iCs w:val="1"/>
          <w:color w:val="auto"/>
        </w:rPr>
        <w:t>Long-Term Inventory Loans</w:t>
      </w:r>
      <w:r>
        <w:rPr>
          <w:rFonts w:ascii="Times New Roman" w:cs="Times New Roman" w:eastAsia="Times New Roman" w:hAnsi="Times New Roman"/>
          <w:sz w:val="16"/>
          <w:szCs w:val="16"/>
          <w:color w:val="auto"/>
        </w:rPr>
        <w:t xml:space="preserve"> reflecting an updated projection of the timing and sources of inventory to be used for repayment. These revaluations were recorded to </w:t>
      </w:r>
      <w:r>
        <w:rPr>
          <w:rFonts w:ascii="Times New Roman" w:cs="Times New Roman" w:eastAsia="Times New Roman" w:hAnsi="Times New Roman"/>
          <w:sz w:val="16"/>
          <w:szCs w:val="16"/>
          <w:i w:val="1"/>
          <w:iCs w:val="1"/>
          <w:color w:val="auto"/>
        </w:rPr>
        <w:t>Cost of Sales</w:t>
      </w:r>
      <w:r>
        <w:rPr>
          <w:rFonts w:ascii="Times New Roman" w:cs="Times New Roman" w:eastAsia="Times New Roman" w:hAnsi="Times New Roman"/>
          <w:sz w:val="16"/>
          <w:szCs w:val="16"/>
          <w:color w:val="auto"/>
        </w:rPr>
        <w:t xml:space="preserve"> and resulted in an increase to the related liability of $1.9 million and $3.7 million, for the three and nine months ended September 30, 2024, respectively, and $0.6 million and $3.5 million for the three and nine months ended September 30, 2023, respectively.</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INTANGIBLE ASSETS</w:t>
      </w:r>
    </w:p>
    <w:p>
      <w:pPr>
        <w:spacing w:after="0" w:line="189" w:lineRule="exact"/>
        <w:rPr>
          <w:sz w:val="20"/>
          <w:szCs w:val="20"/>
          <w:color w:val="auto"/>
        </w:rPr>
      </w:pPr>
    </w:p>
    <w:p>
      <w:pPr>
        <w:jc w:val="both"/>
        <w:ind w:right="160" w:firstLine="191"/>
        <w:spacing w:after="0" w:line="288" w:lineRule="auto"/>
        <w:rPr>
          <w:sz w:val="20"/>
          <w:szCs w:val="20"/>
          <w:color w:val="auto"/>
        </w:rPr>
      </w:pPr>
      <w:r>
        <w:rPr>
          <w:rFonts w:ascii="Times New Roman" w:cs="Times New Roman" w:eastAsia="Times New Roman" w:hAnsi="Times New Roman"/>
          <w:sz w:val="14"/>
          <w:szCs w:val="14"/>
          <w:color w:val="auto"/>
        </w:rPr>
        <w:t>Intangible assets originated from the Company’s reorganization and application of fresh start accounting as of the date the Company emerged from bankruptcy, September 30, 2014, and reflect the conditions at that time. The intangible asset related to the LEU segment backlog is amortized as the backlog, existing at emergence, is reduced, as a result of deliveries to customers. The intangible asset related to customer relationships is amortized using the straight-line method over the estimated average useful life of 15 years.</w:t>
      </w:r>
    </w:p>
    <w:p>
      <w:pPr>
        <w:spacing w:after="0" w:line="1"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16"/>
          <w:szCs w:val="16"/>
          <w:color w:val="auto"/>
        </w:rPr>
        <w:t>Amortization expense is presented below gross profit on the Consolidated Statements of Operations and Comprehensive Income. Intangible asset balances are as follows (in millions):</w:t>
      </w:r>
    </w:p>
    <w:p>
      <w:pPr>
        <w:spacing w:after="0" w:line="75"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120" w:type="dxa"/>
            <w:vAlign w:val="bottom"/>
          </w:tcPr>
          <w:p>
            <w:pPr>
              <w:spacing w:after="0"/>
              <w:rPr>
                <w:sz w:val="10"/>
                <w:szCs w:val="10"/>
                <w:color w:val="auto"/>
              </w:rPr>
            </w:pPr>
          </w:p>
        </w:tc>
        <w:tc>
          <w:tcPr>
            <w:tcW w:w="120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06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79"/>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Backlog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77"/>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32.2</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color w:val="auto"/>
        </w:rPr>
        <w:t>6. DEBT</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 summary of debt is as follows (in millions):</w:t>
      </w:r>
    </w:p>
    <w:p>
      <w:pPr>
        <w:spacing w:after="0" w:line="100"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40" w:type="dxa"/>
            <w:vAlign w:val="bottom"/>
          </w:tcPr>
          <w:p>
            <w:pPr>
              <w:spacing w:after="0"/>
              <w:rPr>
                <w:sz w:val="16"/>
                <w:szCs w:val="16"/>
                <w:color w:val="auto"/>
              </w:rPr>
            </w:pPr>
          </w:p>
        </w:tc>
        <w:tc>
          <w:tcPr>
            <w:tcW w:w="2380" w:type="dxa"/>
            <w:vAlign w:val="bottom"/>
            <w:gridSpan w:val="4"/>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75"/>
        </w:trPr>
        <w:tc>
          <w:tcPr>
            <w:tcW w:w="2060" w:type="dxa"/>
            <w:vAlign w:val="bottom"/>
          </w:tcPr>
          <w:p>
            <w:pPr>
              <w:spacing w:after="0"/>
              <w:rPr>
                <w:sz w:val="15"/>
                <w:szCs w:val="15"/>
                <w:color w:val="auto"/>
              </w:rPr>
            </w:pP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Long-Term</w:t>
            </w:r>
          </w:p>
        </w:tc>
      </w:tr>
      <w:tr>
        <w:trPr>
          <w:trHeight w:val="170"/>
        </w:trPr>
        <w:tc>
          <w:tcPr>
            <w:tcW w:w="2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8.25% Notes:</w:t>
            </w:r>
          </w:p>
        </w:tc>
        <w:tc>
          <w:tcPr>
            <w:tcW w:w="12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Feb. 2027</w:t>
            </w: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184"/>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Principal</w:t>
            </w:r>
          </w:p>
        </w:tc>
        <w:tc>
          <w:tcPr>
            <w:tcW w:w="17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w:t>
            </w:r>
          </w:p>
        </w:tc>
      </w:tr>
      <w:tr>
        <w:trPr>
          <w:trHeight w:val="177"/>
        </w:trPr>
        <w:tc>
          <w:tcPr>
            <w:tcW w:w="2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12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w:t>
            </w:r>
          </w:p>
        </w:tc>
      </w:tr>
      <w:tr>
        <w:trPr>
          <w:trHeight w:val="198"/>
        </w:trPr>
        <w:tc>
          <w:tcPr>
            <w:tcW w:w="2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83.5</w:t>
            </w:r>
          </w:p>
        </w:tc>
        <w:tc>
          <w:tcPr>
            <w:tcW w:w="3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89.6</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 xml:space="preserve">Interest on the Company’s 8.25% Notes is payable semi-annually in arrears as of February 28 and August 31 based on a 360-day year consisting of twelve 30-day months. The 8.25% Notes were issued in connection with a troubled debt restructuring; therefore, all future interest payment obligations on the 8.25% Notes are included in the carrying value of the 8.25% Notes. As a result, interest payments are reported as a reduction in the carrying value of the 8.25% Notes and not as interest expense. As of September 30, 2024, and December 31, 2023, $6.1 million of interest was recorded as current and classified as </w:t>
      </w:r>
      <w:r>
        <w:rPr>
          <w:rFonts w:ascii="Times New Roman" w:cs="Times New Roman" w:eastAsia="Times New Roman" w:hAnsi="Times New Roman"/>
          <w:sz w:val="16"/>
          <w:szCs w:val="16"/>
          <w:i w:val="1"/>
          <w:iCs w:val="1"/>
          <w:color w:val="auto"/>
        </w:rPr>
        <w:t>Current Debt</w:t>
      </w:r>
      <w:r>
        <w:rPr>
          <w:rFonts w:ascii="Times New Roman" w:cs="Times New Roman" w:eastAsia="Times New Roman" w:hAnsi="Times New Roman"/>
          <w:sz w:val="16"/>
          <w:szCs w:val="16"/>
          <w:color w:val="auto"/>
        </w:rPr>
        <w:t xml:space="preserve"> in the Consolidated Balance Sheets.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FAIR VALUE</w:t>
      </w:r>
    </w:p>
    <w:p>
      <w:pPr>
        <w:spacing w:after="0" w:line="189" w:lineRule="exact"/>
        <w:rPr>
          <w:sz w:val="20"/>
          <w:szCs w:val="20"/>
          <w:color w:val="auto"/>
        </w:rPr>
      </w:pPr>
    </w:p>
    <w:p>
      <w:pPr>
        <w:ind w:right="200" w:firstLine="191"/>
        <w:spacing w:after="0" w:line="261" w:lineRule="auto"/>
        <w:rPr>
          <w:sz w:val="20"/>
          <w:szCs w:val="20"/>
          <w:color w:val="auto"/>
        </w:rPr>
      </w:pPr>
      <w:r>
        <w:rPr>
          <w:rFonts w:ascii="Times New Roman" w:cs="Times New Roman" w:eastAsia="Times New Roman" w:hAnsi="Times New Roman"/>
          <w:sz w:val="16"/>
          <w:szCs w:val="16"/>
          <w:color w:val="auto"/>
        </w:rPr>
        <w:t>Fair value is the price that would be received from selling an asset or paid to transfer a liability in an orderly transaction between market participants at the measurement date. When determining the fair value of assets and liabilities, the following hierarchy is used in selecting inputs, with the highest priority given to Level 1, as these are the most transparent or reliable:</w:t>
      </w:r>
    </w:p>
    <w:p>
      <w:pPr>
        <w:spacing w:after="0" w:line="47" w:lineRule="exact"/>
        <w:rPr>
          <w:sz w:val="20"/>
          <w:szCs w:val="20"/>
          <w:color w:val="auto"/>
        </w:rPr>
      </w:pPr>
    </w:p>
    <w:p>
      <w:pPr>
        <w:ind w:left="560" w:hanging="173"/>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assets include investments with quoted prices in active markets that the Company has the ability to liquidate as of the reporting date.</w:t>
      </w:r>
    </w:p>
    <w:p>
      <w:pPr>
        <w:spacing w:after="0" w:line="91" w:lineRule="exact"/>
        <w:rPr>
          <w:rFonts w:ascii="Times New Roman" w:cs="Times New Roman" w:eastAsia="Times New Roman" w:hAnsi="Times New Roman"/>
          <w:sz w:val="16"/>
          <w:szCs w:val="16"/>
          <w:color w:val="auto"/>
        </w:rPr>
      </w:pPr>
    </w:p>
    <w:p>
      <w:pPr>
        <w:ind w:left="580" w:right="80" w:hanging="193"/>
        <w:spacing w:after="0" w:line="259" w:lineRule="auto"/>
        <w:tabs>
          <w:tab w:leader="none" w:pos="57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assets include investments in U.S. government agency securities, corporate and municipal debt whose estimates are valued based on observable inputs, other than quoted prices.</w:t>
      </w:r>
    </w:p>
    <w:p>
      <w:pPr>
        <w:spacing w:after="0" w:line="59" w:lineRule="exact"/>
        <w:rPr>
          <w:rFonts w:ascii="Times New Roman" w:cs="Times New Roman" w:eastAsia="Times New Roman" w:hAnsi="Times New Roman"/>
          <w:sz w:val="16"/>
          <w:szCs w:val="16"/>
          <w:color w:val="auto"/>
        </w:rPr>
      </w:pPr>
    </w:p>
    <w:p>
      <w:pPr>
        <w:ind w:left="560" w:hanging="173"/>
        <w:spacing w:after="0"/>
        <w:tabs>
          <w:tab w:leader="none" w:pos="56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3 assets include investments with unobservable inputs, such as third-party valuations, due to little or no market activity.</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i w:val="1"/>
          <w:iCs w:val="1"/>
          <w:color w:val="auto"/>
        </w:rPr>
        <w:t>Financial Instruments Recorded at Fair Value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76"/>
        </w:trPr>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r>
      <w:tr>
        <w:trPr>
          <w:trHeight w:val="179"/>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194.3</w:t>
            </w:r>
          </w:p>
        </w:tc>
        <w:tc>
          <w:tcPr>
            <w:tcW w:w="16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201.2</w:t>
            </w:r>
          </w:p>
        </w:tc>
      </w:tr>
      <w:tr>
        <w:trPr>
          <w:trHeight w:val="182"/>
        </w:trPr>
        <w:tc>
          <w:tcPr>
            <w:tcW w:w="33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3"/>
                <w:szCs w:val="13"/>
                <w:color w:val="auto"/>
              </w:rPr>
              <w:t xml:space="preserve">Deferred compensation asset </w:t>
            </w:r>
            <w:r>
              <w:rPr>
                <w:rFonts w:ascii="Times New Roman" w:cs="Times New Roman" w:eastAsia="Times New Roman" w:hAnsi="Times New Roman"/>
                <w:sz w:val="17"/>
                <w:szCs w:val="17"/>
                <w:color w:val="auto"/>
                <w:vertAlign w:val="superscript"/>
              </w:rPr>
              <w:t>(a)</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r>
      <w:tr>
        <w:trPr>
          <w:trHeight w:val="127"/>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8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Deferred compensation obligation </w:t>
            </w:r>
            <w:r>
              <w:rPr>
                <w:rFonts w:ascii="Times New Roman" w:cs="Times New Roman" w:eastAsia="Times New Roman" w:hAnsi="Times New Roman"/>
                <w:sz w:val="17"/>
                <w:szCs w:val="17"/>
                <w:color w:val="auto"/>
                <w:vertAlign w:val="superscript"/>
              </w:rPr>
              <w:t>(a)</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0.4</w:t>
            </w:r>
          </w:p>
        </w:tc>
        <w:tc>
          <w:tcPr>
            <w:tcW w:w="160" w:type="dxa"/>
            <w:vAlign w:val="bottom"/>
          </w:tcPr>
          <w:p>
            <w:pPr>
              <w:spacing w:after="0"/>
              <w:rPr>
                <w:sz w:val="20"/>
                <w:szCs w:val="20"/>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20"/>
                <w:szCs w:val="20"/>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r>
    </w:tbl>
    <w:p>
      <w:pPr>
        <w:spacing w:after="0" w:line="179" w:lineRule="exact"/>
        <w:rPr>
          <w:sz w:val="20"/>
          <w:szCs w:val="20"/>
          <w:color w:val="auto"/>
        </w:rPr>
      </w:pPr>
    </w:p>
    <w:p>
      <w:pPr>
        <w:ind w:left="640" w:right="20" w:hanging="253"/>
        <w:spacing w:after="0" w:line="230" w:lineRule="auto"/>
        <w:tabs>
          <w:tab w:leader="none" w:pos="626"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deferred compensation obligation represents the balance of deferred compensation plus net investment earnings. The deferred compensation plan is funded through a rabbi trust. Trust funds are invested in mutual funds for which unit prices are quoted in active markets and are classified within Level 1 of the valuation hierarchy.</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were no transfers between Level 1, 2 or 3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20" w:name="page21"/>
    <w:bookmarkEnd w:id="20"/>
    <w:p>
      <w:pPr>
        <w:ind w:left="200"/>
        <w:spacing w:after="0"/>
        <w:rPr>
          <w:sz w:val="20"/>
          <w:szCs w:val="20"/>
          <w:color w:val="auto"/>
        </w:rPr>
      </w:pPr>
      <w:r>
        <w:rPr>
          <w:rFonts w:ascii="Times New Roman" w:cs="Times New Roman" w:eastAsia="Times New Roman" w:hAnsi="Times New Roman"/>
          <w:sz w:val="16"/>
          <w:szCs w:val="16"/>
          <w:i w:val="1"/>
          <w:iCs w:val="1"/>
          <w:color w:val="auto"/>
        </w:rPr>
        <w:t>Other Financial Instruments</w:t>
      </w:r>
    </w:p>
    <w:p>
      <w:pPr>
        <w:spacing w:after="0" w:line="198" w:lineRule="exact"/>
        <w:rPr>
          <w:sz w:val="20"/>
          <w:szCs w:val="20"/>
          <w:color w:val="auto"/>
        </w:rPr>
      </w:pPr>
    </w:p>
    <w:p>
      <w:pPr>
        <w:ind w:right="200" w:firstLine="191"/>
        <w:spacing w:after="0" w:line="333" w:lineRule="auto"/>
        <w:rPr>
          <w:sz w:val="20"/>
          <w:szCs w:val="20"/>
          <w:color w:val="auto"/>
        </w:rPr>
      </w:pPr>
      <w:r>
        <w:rPr>
          <w:rFonts w:ascii="Times New Roman" w:cs="Times New Roman" w:eastAsia="Times New Roman" w:hAnsi="Times New Roman"/>
          <w:sz w:val="14"/>
          <w:szCs w:val="14"/>
          <w:color w:val="auto"/>
        </w:rPr>
        <w:t xml:space="preserve">As of September 30, 2024, and December 31, 2023, the Consolidated Balance Sheets carrying amounts for </w:t>
      </w:r>
      <w:r>
        <w:rPr>
          <w:rFonts w:ascii="Times New Roman" w:cs="Times New Roman" w:eastAsia="Times New Roman" w:hAnsi="Times New Roman"/>
          <w:sz w:val="14"/>
          <w:szCs w:val="14"/>
          <w:i w:val="1"/>
          <w:iCs w:val="1"/>
          <w:color w:val="auto"/>
        </w:rPr>
        <w:t>Accounts Receivable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Accounts Payable and Accrued Liabilities</w:t>
      </w:r>
      <w:r>
        <w:rPr>
          <w:rFonts w:ascii="Times New Roman" w:cs="Times New Roman" w:eastAsia="Times New Roman" w:hAnsi="Times New Roman"/>
          <w:sz w:val="14"/>
          <w:szCs w:val="14"/>
          <w:color w:val="auto"/>
        </w:rPr>
        <w:t xml:space="preserve"> (excluding the deferred compensation obligation described above), and </w:t>
      </w:r>
      <w:r>
        <w:rPr>
          <w:rFonts w:ascii="Times New Roman" w:cs="Times New Roman" w:eastAsia="Times New Roman" w:hAnsi="Times New Roman"/>
          <w:sz w:val="14"/>
          <w:szCs w:val="14"/>
          <w:i w:val="1"/>
          <w:iCs w:val="1"/>
          <w:color w:val="auto"/>
        </w:rPr>
        <w:t>Payables under Inventory Purchase Agreements</w:t>
      </w:r>
      <w:r>
        <w:rPr>
          <w:rFonts w:ascii="Times New Roman" w:cs="Times New Roman" w:eastAsia="Times New Roman" w:hAnsi="Times New Roman"/>
          <w:sz w:val="14"/>
          <w:szCs w:val="14"/>
          <w:color w:val="auto"/>
        </w:rPr>
        <w:t xml:space="preserve"> approximate fair value because of their short-term nature.</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carrying value and estimated fair value of long-term debt were as follows (in millions):</w:t>
      </w:r>
    </w:p>
    <w:p>
      <w:pPr>
        <w:spacing w:after="0" w:line="100" w:lineRule="exact"/>
        <w:rPr>
          <w:sz w:val="20"/>
          <w:szCs w:val="20"/>
          <w:color w:val="auto"/>
        </w:rPr>
      </w:pPr>
    </w:p>
    <w:tbl>
      <w:tblPr>
        <w:tblLayout w:type="fixed"/>
        <w:tblInd w:w="130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8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3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Estimated Fair Value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360" w:type="dxa"/>
            <w:vAlign w:val="bottom"/>
            <w:gridSpan w:val="3"/>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Estimated Fair Value</w:t>
            </w:r>
          </w:p>
        </w:tc>
        <w:tc>
          <w:tcPr>
            <w:tcW w:w="0" w:type="dxa"/>
            <w:vAlign w:val="bottom"/>
          </w:tcPr>
          <w:p>
            <w:pPr>
              <w:spacing w:after="0"/>
              <w:rPr>
                <w:sz w:val="1"/>
                <w:szCs w:val="1"/>
                <w:color w:val="auto"/>
              </w:rPr>
            </w:pPr>
          </w:p>
        </w:tc>
      </w:tr>
      <w:tr>
        <w:trPr>
          <w:trHeight w:val="114"/>
        </w:trPr>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220" w:type="dxa"/>
            <w:vAlign w:val="bottom"/>
            <w:gridSpan w:val="2"/>
          </w:tcPr>
          <w:p>
            <w:pPr>
              <w:jc w:val="center"/>
              <w:ind w:right="840"/>
              <w:spacing w:after="0"/>
              <w:rPr>
                <w:sz w:val="20"/>
                <w:szCs w:val="20"/>
                <w:color w:val="auto"/>
              </w:rPr>
            </w:pPr>
            <w:r>
              <w:rPr>
                <w:rFonts w:ascii="Times New Roman" w:cs="Times New Roman" w:eastAsia="Times New Roman" w:hAnsi="Times New Roman"/>
                <w:sz w:val="9"/>
                <w:szCs w:val="9"/>
                <w:b w:val="1"/>
                <w:bCs w:val="1"/>
                <w:color w:val="auto"/>
                <w:w w:val="94"/>
              </w:rPr>
              <w:t>(a)</w:t>
            </w:r>
          </w:p>
        </w:tc>
        <w:tc>
          <w:tcPr>
            <w:tcW w:w="1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jc w:val="center"/>
              <w:ind w:right="465"/>
              <w:spacing w:after="0"/>
              <w:rPr>
                <w:sz w:val="20"/>
                <w:szCs w:val="20"/>
                <w:color w:val="auto"/>
              </w:rPr>
            </w:pPr>
            <w:r>
              <w:rPr>
                <w:rFonts w:ascii="Times New Roman" w:cs="Times New Roman" w:eastAsia="Times New Roman" w:hAnsi="Times New Roman"/>
                <w:sz w:val="9"/>
                <w:szCs w:val="9"/>
                <w:b w:val="1"/>
                <w:bCs w:val="1"/>
                <w:color w:val="auto"/>
                <w:w w:val="94"/>
              </w:rPr>
              <w:t>(a)</w:t>
            </w:r>
          </w:p>
        </w:tc>
        <w:tc>
          <w:tcPr>
            <w:tcW w:w="0" w:type="dxa"/>
            <w:vAlign w:val="bottom"/>
          </w:tcPr>
          <w:p>
            <w:pPr>
              <w:spacing w:after="0"/>
              <w:rPr>
                <w:sz w:val="1"/>
                <w:szCs w:val="1"/>
                <w:color w:val="auto"/>
              </w:rPr>
            </w:pPr>
          </w:p>
        </w:tc>
      </w:tr>
      <w:tr>
        <w:trPr>
          <w:trHeight w:val="24"/>
        </w:trPr>
        <w:tc>
          <w:tcPr>
            <w:tcW w:w="2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8.25% Notes</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40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auto"/>
              </w:rPr>
              <w:t>(b)</w:t>
            </w: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73.8</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w:t>
            </w:r>
          </w:p>
        </w:tc>
        <w:tc>
          <w:tcPr>
            <w:tcW w:w="32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auto"/>
              </w:rPr>
              <w:t>(b)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71.7</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900" w:hanging="131"/>
        <w:spacing w:after="0"/>
        <w:tabs>
          <w:tab w:leader="none" w:pos="900" w:val="left"/>
        </w:tabs>
        <w:numPr>
          <w:ilvl w:val="1"/>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Based on bid/ask quotes as of or near the balance sheet date, which are considered Level 2 inputs.</w:t>
      </w:r>
    </w:p>
    <w:p>
      <w:pPr>
        <w:spacing w:after="0" w:line="70" w:lineRule="exact"/>
        <w:rPr>
          <w:rFonts w:ascii="Times New Roman" w:cs="Times New Roman" w:eastAsia="Times New Roman" w:hAnsi="Times New Roman"/>
          <w:sz w:val="17"/>
          <w:szCs w:val="17"/>
          <w:color w:val="auto"/>
          <w:vertAlign w:val="superscript"/>
        </w:rPr>
      </w:pPr>
    </w:p>
    <w:p>
      <w:pPr>
        <w:ind w:left="900" w:right="160" w:hanging="131"/>
        <w:spacing w:after="0" w:line="230" w:lineRule="auto"/>
        <w:tabs>
          <w:tab w:leader="none" w:pos="971" w:val="left"/>
        </w:tabs>
        <w:numPr>
          <w:ilvl w:val="1"/>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carrying value of the 8.25% Notes consists of the principal balance of $74.3 million and the sum of current and noncurrent interest payment obligations until maturity. Refer to Note 6</w:t>
      </w:r>
      <w:r>
        <w:rPr>
          <w:rFonts w:ascii="Times New Roman" w:cs="Times New Roman" w:eastAsia="Times New Roman" w:hAnsi="Times New Roman"/>
          <w:sz w:val="14"/>
          <w:szCs w:val="14"/>
          <w:i w:val="1"/>
          <w:iCs w:val="1"/>
          <w:color w:val="auto"/>
        </w:rPr>
        <w:t>, Debt</w:t>
      </w: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8"/>
          <w:szCs w:val="18"/>
          <w:color w:val="auto"/>
          <w:vertAlign w:val="superscript"/>
        </w:rPr>
      </w:pPr>
    </w:p>
    <w:p>
      <w:pPr>
        <w:spacing w:after="0" w:line="332" w:lineRule="exact"/>
        <w:rPr>
          <w:rFonts w:ascii="Times New Roman" w:cs="Times New Roman" w:eastAsia="Times New Roman" w:hAnsi="Times New Roman"/>
          <w:sz w:val="18"/>
          <w:szCs w:val="18"/>
          <w:color w:val="auto"/>
          <w:vertAlign w:val="superscript"/>
        </w:rPr>
      </w:pPr>
    </w:p>
    <w:p>
      <w:pPr>
        <w:ind w:left="160" w:hanging="155"/>
        <w:spacing w:after="0"/>
        <w:tabs>
          <w:tab w:leader="none" w:pos="16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PENSION AND POSTRETIREMENT HEALTH AND LIFE BENEFITS</w:t>
      </w:r>
    </w:p>
    <w:p>
      <w:pPr>
        <w:spacing w:after="0" w:line="189"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The Company provides retirement benefits to certain employees and retirees under two qualified defined benefit pension plans, one postretirement health and life benefit plan and two disqualified plans.</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components of net periodic benefit costs (credits) for the defined benefit pension plans were as follows (in millions):</w:t>
      </w:r>
    </w:p>
    <w:p>
      <w:pPr>
        <w:spacing w:after="0" w:line="99"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2000" w:type="dxa"/>
            <w:vAlign w:val="bottom"/>
            <w:gridSpan w:val="4"/>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4"/>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9"/>
        </w:trPr>
        <w:tc>
          <w:tcPr>
            <w:tcW w:w="43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tcBorders>
              <w:bottom w:val="single" w:sz="8" w:color="auto"/>
            </w:tcBorders>
          </w:tcPr>
          <w:p>
            <w:pPr>
              <w:spacing w:after="0"/>
              <w:rPr>
                <w:sz w:val="15"/>
                <w:szCs w:val="15"/>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costs</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0.5</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7"/>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costs</w:t>
            </w:r>
          </w:p>
        </w:tc>
        <w:tc>
          <w:tcPr>
            <w:tcW w:w="740" w:type="dxa"/>
            <w:vAlign w:val="bottom"/>
          </w:tcPr>
          <w:p>
            <w:pPr>
              <w:spacing w:after="0"/>
              <w:rPr>
                <w:sz w:val="15"/>
                <w:szCs w:val="15"/>
                <w:color w:val="auto"/>
              </w:rPr>
            </w:pPr>
          </w:p>
        </w:tc>
        <w:tc>
          <w:tcPr>
            <w:tcW w:w="38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0.2</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r>
      <w:tr>
        <w:trPr>
          <w:trHeight w:val="18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prior service costs (credits), net</w:t>
            </w: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7"/>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Remeasurement gain</w:t>
            </w:r>
          </w:p>
        </w:tc>
        <w:tc>
          <w:tcPr>
            <w:tcW w:w="7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(0.2)</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r>
      <w:tr>
        <w:trPr>
          <w:trHeight w:val="18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return on plan assets (gains)</w:t>
            </w:r>
          </w:p>
        </w:tc>
        <w:tc>
          <w:tcPr>
            <w:tcW w:w="7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(0.2)</w:t>
            </w:r>
          </w:p>
        </w:tc>
        <w:tc>
          <w:tcPr>
            <w:tcW w:w="14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periodic benefit costs (credits)</w:t>
            </w:r>
          </w:p>
        </w:tc>
        <w:tc>
          <w:tcPr>
            <w:tcW w:w="7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0.4</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(17.0)</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r>
      <w:tr>
        <w:trPr>
          <w:trHeight w:val="20"/>
        </w:trPr>
        <w:tc>
          <w:tcPr>
            <w:tcW w:w="4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components of net periodic benefit costs for the postretirement health and life benefit plan were as follows (in millions):</w:t>
      </w:r>
    </w:p>
    <w:p>
      <w:pPr>
        <w:spacing w:after="0" w:line="99"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2020" w:type="dxa"/>
            <w:vAlign w:val="bottom"/>
            <w:gridSpan w:val="4"/>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4"/>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9"/>
        </w:trPr>
        <w:tc>
          <w:tcPr>
            <w:tcW w:w="43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tcBorders>
              <w:bottom w:val="single" w:sz="8" w:color="auto"/>
            </w:tcBorders>
          </w:tcPr>
          <w:p>
            <w:pPr>
              <w:spacing w:after="0"/>
              <w:rPr>
                <w:sz w:val="15"/>
                <w:szCs w:val="15"/>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costs</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center"/>
              <w:ind w:left="513"/>
              <w:spacing w:after="0"/>
              <w:rPr>
                <w:sz w:val="20"/>
                <w:szCs w:val="20"/>
                <w:color w:val="auto"/>
              </w:rPr>
            </w:pPr>
            <w:r>
              <w:rPr>
                <w:rFonts w:ascii="Times New Roman" w:cs="Times New Roman" w:eastAsia="Times New Roman" w:hAnsi="Times New Roman"/>
                <w:sz w:val="13"/>
                <w:szCs w:val="13"/>
                <w:color w:val="auto"/>
                <w:w w:val="98"/>
              </w:rPr>
              <w:t>3.4</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7"/>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Amortization of prior service costs (credits), net</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493"/>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98"/>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periodic benefit costs</w:t>
            </w:r>
          </w:p>
        </w:tc>
        <w:tc>
          <w:tcPr>
            <w:tcW w:w="74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bottom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1.1</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center"/>
              <w:ind w:left="513"/>
              <w:spacing w:after="0"/>
              <w:rPr>
                <w:sz w:val="20"/>
                <w:szCs w:val="20"/>
                <w:color w:val="auto"/>
              </w:rPr>
            </w:pPr>
            <w:r>
              <w:rPr>
                <w:rFonts w:ascii="Times New Roman" w:cs="Times New Roman" w:eastAsia="Times New Roman" w:hAnsi="Times New Roman"/>
                <w:sz w:val="13"/>
                <w:szCs w:val="13"/>
                <w:b w:val="1"/>
                <w:bCs w:val="1"/>
                <w:color w:val="auto"/>
                <w:w w:val="98"/>
              </w:rPr>
              <w:t>3.3</w:t>
            </w: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540" w:firstLine="191"/>
        <w:spacing w:after="0" w:line="349" w:lineRule="auto"/>
        <w:rPr>
          <w:sz w:val="20"/>
          <w:szCs w:val="20"/>
          <w:color w:val="auto"/>
        </w:rPr>
      </w:pPr>
      <w:r>
        <w:rPr>
          <w:rFonts w:ascii="Times New Roman" w:cs="Times New Roman" w:eastAsia="Times New Roman" w:hAnsi="Times New Roman"/>
          <w:sz w:val="14"/>
          <w:szCs w:val="14"/>
          <w:color w:val="auto"/>
        </w:rPr>
        <w:t xml:space="preserve">The Company reports service costs for its defined benefit pension plans and its postretirement health and life benefit plans in </w:t>
      </w: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Selling, General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Administrative Expenses</w:t>
      </w:r>
      <w:r>
        <w:rPr>
          <w:rFonts w:ascii="Times New Roman" w:cs="Times New Roman" w:eastAsia="Times New Roman" w:hAnsi="Times New Roman"/>
          <w:sz w:val="14"/>
          <w:szCs w:val="14"/>
          <w:color w:val="auto"/>
        </w:rPr>
        <w:t>. The remaining components of net periodic benefit (credits) costs are reported as</w:t>
      </w:r>
      <w:r>
        <w:rPr>
          <w:rFonts w:ascii="Times New Roman" w:cs="Times New Roman" w:eastAsia="Times New Roman" w:hAnsi="Times New Roman"/>
          <w:sz w:val="14"/>
          <w:szCs w:val="14"/>
          <w:i w:val="1"/>
          <w:iCs w:val="1"/>
          <w:color w:val="auto"/>
        </w:rPr>
        <w:t xml:space="preserve"> Nonoperating Components of Net Periodic Benefit Loss (Income).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1" w:name="page22"/>
    <w:bookmarkEnd w:id="21"/>
    <w:p>
      <w:pPr>
        <w:ind w:right="400" w:firstLine="191"/>
        <w:spacing w:after="0" w:line="252" w:lineRule="auto"/>
        <w:rPr>
          <w:sz w:val="20"/>
          <w:szCs w:val="20"/>
          <w:color w:val="auto"/>
        </w:rPr>
      </w:pPr>
      <w:r>
        <w:rPr>
          <w:rFonts w:ascii="Times New Roman" w:cs="Times New Roman" w:eastAsia="Times New Roman" w:hAnsi="Times New Roman"/>
          <w:sz w:val="16"/>
          <w:szCs w:val="16"/>
          <w:color w:val="auto"/>
        </w:rPr>
        <w:t>During the third quarter of 2023, the Company determined that it was probable that lump sum payouts for 2023 would be greater than the annual service and interest cost components of the annual net periodic benefit cost for one of its defined benefit pension plans, triggering a remeasurement. The Company’s defined benefit obligations for its pension plans was $527.3 million at December 31, 2022, of which $30.6 million related to this plan. The remeasurement resulted in a decrease in the benefit obligation and a corresponding net actuarial gain of $0.9 million for the three and nine months ended September 30, 2023.</w:t>
      </w:r>
    </w:p>
    <w:p>
      <w:pPr>
        <w:spacing w:after="0" w:line="161" w:lineRule="exact"/>
        <w:rPr>
          <w:sz w:val="20"/>
          <w:szCs w:val="20"/>
          <w:color w:val="auto"/>
        </w:rPr>
      </w:pPr>
    </w:p>
    <w:p>
      <w:pPr>
        <w:ind w:firstLine="191"/>
        <w:spacing w:after="0" w:line="251" w:lineRule="auto"/>
        <w:rPr>
          <w:sz w:val="20"/>
          <w:szCs w:val="20"/>
          <w:color w:val="auto"/>
        </w:rPr>
      </w:pPr>
      <w:r>
        <w:rPr>
          <w:rFonts w:ascii="Times New Roman" w:cs="Times New Roman" w:eastAsia="Times New Roman" w:hAnsi="Times New Roman"/>
          <w:sz w:val="16"/>
          <w:szCs w:val="16"/>
          <w:color w:val="auto"/>
        </w:rPr>
        <w:t xml:space="preserve">On October 12, 2023, the Company entered into an agreement with an insurer (“Insurer”) for one of its defined benefit plans to purchase a group annuity contract and transferred approximately $186.5 million of its pension plan obligations to the Insurer. The purchase of the group annuity contract was funded directly by the assets of the pension plan of approximately $171.4 million. The purchase resulted in a transfer of liabilities for approximately 1,400 participants effective December 1, 2023. The Company recorded income related to the pension settlement in the fourth quarter of $28.6 million, which was included in </w:t>
      </w:r>
      <w:r>
        <w:rPr>
          <w:rFonts w:ascii="Times New Roman" w:cs="Times New Roman" w:eastAsia="Times New Roman" w:hAnsi="Times New Roman"/>
          <w:sz w:val="16"/>
          <w:szCs w:val="16"/>
          <w:i w:val="1"/>
          <w:iCs w:val="1"/>
          <w:color w:val="auto"/>
        </w:rPr>
        <w:t>Nonoperating Components of Net Periodic Benefit Income</w:t>
      </w:r>
      <w:r>
        <w:rPr>
          <w:rFonts w:ascii="Times New Roman" w:cs="Times New Roman" w:eastAsia="Times New Roman" w:hAnsi="Times New Roman"/>
          <w:sz w:val="16"/>
          <w:szCs w:val="16"/>
          <w:color w:val="auto"/>
        </w:rPr>
        <w:t xml:space="preserve"> in its Consolidated Statements of Operations.</w:t>
      </w:r>
    </w:p>
    <w:p>
      <w:pPr>
        <w:spacing w:after="0" w:line="163" w:lineRule="exact"/>
        <w:rPr>
          <w:sz w:val="20"/>
          <w:szCs w:val="20"/>
          <w:color w:val="auto"/>
        </w:rPr>
      </w:pPr>
    </w:p>
    <w:p>
      <w:pPr>
        <w:ind w:right="360" w:firstLine="191"/>
        <w:spacing w:after="0" w:line="251" w:lineRule="auto"/>
        <w:rPr>
          <w:sz w:val="20"/>
          <w:szCs w:val="20"/>
          <w:color w:val="auto"/>
        </w:rPr>
      </w:pPr>
      <w:r>
        <w:rPr>
          <w:rFonts w:ascii="Times New Roman" w:cs="Times New Roman" w:eastAsia="Times New Roman" w:hAnsi="Times New Roman"/>
          <w:sz w:val="16"/>
          <w:szCs w:val="16"/>
          <w:color w:val="auto"/>
        </w:rPr>
        <w:t>During the second quarter of 2024, the Company determined that it was probable that lump sum payouts for 2024 would be greater than the annual service and interest cost components of the annual net periodic benefit cost for two of its defined benefit pension plans. In addition, on May 28, 2024, the Company entered into an agreement with an insurer for two of its defined benefit plans to purchase a group annuity contract and transferred approximately $234 million of its pension plan obligations to the insurer. The purchase of the group annuity contract was funded directly by assets of the pension plan of approximately $224 million. The purchase resulted in a transfer of future benefit obligations and administrative liabilities for more than 1,000 participants effective September 1, 2024.</w:t>
      </w:r>
    </w:p>
    <w:p>
      <w:pPr>
        <w:spacing w:after="0" w:line="163" w:lineRule="exact"/>
        <w:rPr>
          <w:sz w:val="20"/>
          <w:szCs w:val="20"/>
          <w:color w:val="auto"/>
        </w:rPr>
      </w:pPr>
    </w:p>
    <w:p>
      <w:pPr>
        <w:ind w:right="120" w:firstLine="191"/>
        <w:spacing w:after="0" w:line="252" w:lineRule="auto"/>
        <w:rPr>
          <w:sz w:val="20"/>
          <w:szCs w:val="20"/>
          <w:color w:val="auto"/>
        </w:rPr>
      </w:pPr>
      <w:r>
        <w:rPr>
          <w:rFonts w:ascii="Times New Roman" w:cs="Times New Roman" w:eastAsia="Times New Roman" w:hAnsi="Times New Roman"/>
          <w:sz w:val="16"/>
          <w:szCs w:val="16"/>
          <w:color w:val="auto"/>
        </w:rPr>
        <w:t>During the third quarter of 2024, the Company again determined that it was probable that lump sum payouts for 2024 would be greater than the annual service and interest cost components of the annual net periodic benefit cost for its two defined benefit pension plans. In addition, the Company transferred $15.4 million of pension plan assets and the related obligations under two participating group annuity contracts to two non-participating group annuity contracts for two of its defined benefit plans. The purchase resulted in a transfer of future benefit obligations and administrative liabilities for more than 400 participants effective October 1, 2024.</w:t>
      </w:r>
    </w:p>
    <w:p>
      <w:pPr>
        <w:spacing w:after="0" w:line="172" w:lineRule="exact"/>
        <w:rPr>
          <w:sz w:val="20"/>
          <w:szCs w:val="20"/>
          <w:color w:val="auto"/>
        </w:rPr>
      </w:pPr>
    </w:p>
    <w:p>
      <w:pPr>
        <w:ind w:right="20" w:firstLine="191"/>
        <w:spacing w:after="0" w:line="254" w:lineRule="auto"/>
        <w:rPr>
          <w:sz w:val="20"/>
          <w:szCs w:val="20"/>
          <w:color w:val="auto"/>
        </w:rPr>
      </w:pPr>
      <w:r>
        <w:rPr>
          <w:rFonts w:ascii="Times New Roman" w:cs="Times New Roman" w:eastAsia="Times New Roman" w:hAnsi="Times New Roman"/>
          <w:sz w:val="16"/>
          <w:szCs w:val="16"/>
          <w:color w:val="auto"/>
        </w:rPr>
        <w:t xml:space="preserve">These events triggered remeasurements that resulted in a decrease in the benefit obligation and corresponding net actuarial gains of $0.2 million and $16.8 million for the three and nine months ended September 30, 2024, respectively. The related income was included in </w:t>
      </w:r>
      <w:r>
        <w:rPr>
          <w:rFonts w:ascii="Times New Roman" w:cs="Times New Roman" w:eastAsia="Times New Roman" w:hAnsi="Times New Roman"/>
          <w:sz w:val="16"/>
          <w:szCs w:val="16"/>
          <w:i w:val="1"/>
          <w:iCs w:val="1"/>
          <w:color w:val="auto"/>
        </w:rPr>
        <w:t>Nonoperating Components of Net Periodic Benefit Loss (Income)</w:t>
      </w:r>
      <w:r>
        <w:rPr>
          <w:rFonts w:ascii="Times New Roman" w:cs="Times New Roman" w:eastAsia="Times New Roman" w:hAnsi="Times New Roman"/>
          <w:sz w:val="16"/>
          <w:szCs w:val="16"/>
          <w:color w:val="auto"/>
        </w:rPr>
        <w:t xml:space="preserve"> in the Consolidated Statements of Operations.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INCOME TAXES</w:t>
      </w:r>
    </w:p>
    <w:p>
      <w:pPr>
        <w:spacing w:after="0" w:line="200" w:lineRule="exact"/>
        <w:rPr>
          <w:sz w:val="20"/>
          <w:szCs w:val="20"/>
          <w:color w:val="auto"/>
        </w:rPr>
      </w:pPr>
    </w:p>
    <w:p>
      <w:pPr>
        <w:ind w:right="80" w:firstLine="191"/>
        <w:spacing w:after="0" w:line="252" w:lineRule="auto"/>
        <w:rPr>
          <w:sz w:val="20"/>
          <w:szCs w:val="20"/>
          <w:color w:val="auto"/>
        </w:rPr>
      </w:pPr>
      <w:r>
        <w:rPr>
          <w:rFonts w:ascii="Times New Roman" w:cs="Times New Roman" w:eastAsia="Times New Roman" w:hAnsi="Times New Roman"/>
          <w:sz w:val="16"/>
          <w:szCs w:val="16"/>
          <w:color w:val="auto"/>
        </w:rPr>
        <w:t>Centrus follows the asset and liability approach to account for deferred taxes. Deferred tax assets and liabilities are recognized for the anticipated future tax consequences of temporary differences between the balance sheet carrying amounts of assets and liabilities and their respective tax bases. A valuation allowance is provided if it is more likely than not that all, or some portion, of the deferred tax assets may not be realized. The ultimate realization of the net deferred tax assets is dependent upon generating sufficient taxable income in future years when deferred tax assets are recoverable or are expected to reverse.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7" w:right="379" w:bottom="1440" w:gutter="0" w:footer="0" w:header="0"/>
        </w:sectPr>
      </w:pPr>
    </w:p>
    <w:bookmarkStart w:id="22" w:name="page23"/>
    <w:bookmarkEnd w:id="22"/>
    <w:p>
      <w:pPr>
        <w:ind w:firstLine="184"/>
        <w:spacing w:after="0" w:line="248" w:lineRule="auto"/>
        <w:rPr>
          <w:sz w:val="20"/>
          <w:szCs w:val="20"/>
          <w:color w:val="auto"/>
        </w:rPr>
      </w:pPr>
      <w:r>
        <w:rPr>
          <w:rFonts w:ascii="Times New Roman" w:cs="Times New Roman" w:eastAsia="Times New Roman" w:hAnsi="Times New Roman"/>
          <w:sz w:val="16"/>
          <w:szCs w:val="16"/>
          <w:color w:val="auto"/>
        </w:rPr>
        <w:t>During the third quarter of 2023, Centrus evaluated both positive and negative evidence that was objectively verifiable to determine the amount of the federal valuation allowance that was required on Centrus’ federal deferred tax assets. Centrus had visibility on a significant portion of revenue in the LEU segment for 2023 through 2026, primarily from its long-term sales contracts. In the third quarter of 2023, Centrus released $7.7 million of the valuation allowance against federal net deferred taxes as a discrete item for the three months ended September 30, 2023. Centrus determined that the positive evidence of increased forecasted future income in the LEU segment based on existing backlog and supply contracts along with commodity market forward pricing indicators, supported the release of the federal valuation allowance. However, due to lack of objectively verifiable information in later years, it was determined that forecasted future income was not sufficient to realize all the deferred tax assets. Therefore, Centrus recorded a partial release of its federal valuation allowance. There was no release of valuation allowance in the three and nine months ended September 30, 2024.</w:t>
      </w:r>
    </w:p>
    <w:p>
      <w:pPr>
        <w:spacing w:after="0" w:line="16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Going forward, Centrus will continue to evaluate both positive and negative evidence that would support any further changes to the remaining valuation allowances. Such</w:t>
      </w:r>
    </w:p>
    <w:p>
      <w:pPr>
        <w:spacing w:after="0" w:line="1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evidence in its Technical Solutions segment may include signing new contracts which could have a significant impact on pre-tax income, follow on-work related to the HALEU program, or abandonment of the commercial deployment of the centrifuge technology. Such evidence in our LEU segment may include renewing SWU sales contracts with existing customers and/or signing new SWU sales or purchase contracts with significantly higher or lower margins than currently forecasted. Additional evidence in the LEU segment may include potential deferrals in the timing of deliveries requested by its customers, which would impact revenue recognition timing. The impact of these and other potential positive and negative events will be weighed and evaluated to determine if the valuation allowance should be increased or decreased in the future.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NET INCOME (LOSS) PER SHARE</w:t>
      </w:r>
    </w:p>
    <w:p>
      <w:pPr>
        <w:spacing w:after="0" w:line="189" w:lineRule="exact"/>
        <w:rPr>
          <w:sz w:val="20"/>
          <w:szCs w:val="20"/>
          <w:color w:val="auto"/>
        </w:rPr>
      </w:pPr>
    </w:p>
    <w:p>
      <w:pPr>
        <w:ind w:right="20" w:firstLine="191"/>
        <w:spacing w:after="0" w:line="252" w:lineRule="auto"/>
        <w:rPr>
          <w:sz w:val="20"/>
          <w:szCs w:val="20"/>
          <w:color w:val="auto"/>
        </w:rPr>
      </w:pPr>
      <w:r>
        <w:rPr>
          <w:rFonts w:ascii="Times New Roman" w:cs="Times New Roman" w:eastAsia="Times New Roman" w:hAnsi="Times New Roman"/>
          <w:sz w:val="16"/>
          <w:szCs w:val="16"/>
          <w:color w:val="auto"/>
        </w:rPr>
        <w:t>Basic net income (loss) per share is calculated by dividing net income (loss) by the weighted average number of shares of common stock outstanding during the period. In calculating diluted net income (loss) per share, the number of shares is increased by the weighted average number of potential common shares related to stock compensation awards, including restricted stock, stock options, stock appreciation rights and notional stock units, and the Warrant. No dilutive effect is recognized in a period in which a net loss has occurred.</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weighted average number of common and common equivalent shares used in the calculation of basic and diluted net income (loss) per share are as follows:</w:t>
      </w:r>
    </w:p>
    <w:p>
      <w:pPr>
        <w:spacing w:after="0" w:line="163"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5300" w:type="dxa"/>
            <w:vAlign w:val="bottom"/>
          </w:tcPr>
          <w:p>
            <w:pPr>
              <w:spacing w:after="0"/>
              <w:rPr>
                <w:sz w:val="12"/>
                <w:szCs w:val="12"/>
                <w:color w:val="auto"/>
              </w:rPr>
            </w:pPr>
          </w:p>
        </w:tc>
        <w:tc>
          <w:tcPr>
            <w:tcW w:w="1940" w:type="dxa"/>
            <w:vAlign w:val="bottom"/>
            <w:gridSpan w:val="4"/>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4"/>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79"/>
        </w:trPr>
        <w:tc>
          <w:tcPr>
            <w:tcW w:w="5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 (in millions):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68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w:t>
            </w:r>
          </w:p>
        </w:tc>
        <w:tc>
          <w:tcPr>
            <w:tcW w:w="160" w:type="dxa"/>
            <w:vAlign w:val="bottom"/>
          </w:tcPr>
          <w:p>
            <w:pPr>
              <w:spacing w:after="0"/>
              <w:rPr>
                <w:sz w:val="15"/>
                <w:szCs w:val="15"/>
                <w:color w:val="auto"/>
              </w:rPr>
            </w:pPr>
          </w:p>
        </w:tc>
        <w:tc>
          <w:tcPr>
            <w:tcW w:w="68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8.2</w:t>
            </w:r>
          </w:p>
        </w:tc>
        <w:tc>
          <w:tcPr>
            <w:tcW w:w="24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19.5</w:t>
            </w:r>
          </w:p>
        </w:tc>
        <w:tc>
          <w:tcPr>
            <w:tcW w:w="140" w:type="dxa"/>
            <w:vAlign w:val="bottom"/>
          </w:tcPr>
          <w:p>
            <w:pPr>
              <w:spacing w:after="0"/>
              <w:rPr>
                <w:sz w:val="15"/>
                <w:szCs w:val="15"/>
                <w:color w:val="auto"/>
              </w:rPr>
            </w:pP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28.1</w:t>
            </w:r>
          </w:p>
        </w:tc>
        <w:tc>
          <w:tcPr>
            <w:tcW w:w="0" w:type="dxa"/>
            <w:vAlign w:val="bottom"/>
          </w:tcPr>
          <w:p>
            <w:pPr>
              <w:spacing w:after="0"/>
              <w:rPr>
                <w:sz w:val="1"/>
                <w:szCs w:val="1"/>
                <w:color w:val="auto"/>
              </w:rPr>
            </w:pPr>
          </w:p>
        </w:tc>
      </w:tr>
      <w:tr>
        <w:trPr>
          <w:trHeight w:val="129"/>
        </w:trPr>
        <w:tc>
          <w:tcPr>
            <w:tcW w:w="5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5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 (in thousands):</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Average common shares outstanding - basic</w:t>
            </w: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16,422</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15,374</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16,172</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15,127</w:t>
            </w:r>
          </w:p>
        </w:tc>
        <w:tc>
          <w:tcPr>
            <w:tcW w:w="0" w:type="dxa"/>
            <w:vAlign w:val="bottom"/>
          </w:tcPr>
          <w:p>
            <w:pPr>
              <w:spacing w:after="0"/>
              <w:rPr>
                <w:sz w:val="1"/>
                <w:szCs w:val="1"/>
                <w:color w:val="auto"/>
              </w:rPr>
            </w:pPr>
          </w:p>
        </w:tc>
      </w:tr>
      <w:tr>
        <w:trPr>
          <w:trHeight w:val="177"/>
        </w:trPr>
        <w:tc>
          <w:tcPr>
            <w:tcW w:w="5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Potentially dilutive shares related to stock compensation awards and warrant</w:t>
            </w:r>
          </w:p>
        </w:tc>
        <w:tc>
          <w:tcPr>
            <w:tcW w:w="6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0" w:type="dxa"/>
            <w:vAlign w:val="bottom"/>
          </w:tcPr>
          <w:p>
            <w:pPr>
              <w:spacing w:after="0"/>
              <w:rPr>
                <w:sz w:val="1"/>
                <w:szCs w:val="1"/>
                <w:color w:val="auto"/>
              </w:rPr>
            </w:pPr>
          </w:p>
        </w:tc>
      </w:tr>
      <w:tr>
        <w:trPr>
          <w:trHeight w:val="199"/>
        </w:trPr>
        <w:tc>
          <w:tcPr>
            <w:tcW w:w="5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Average common shares outstanding - diluted</w:t>
            </w: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16,422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15,626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16,236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15,415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per share (in dollars):</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300" w:type="dxa"/>
            <w:vAlign w:val="bottom"/>
            <w:vMerge w:val="continue"/>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68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0.53</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77"/>
        </w:trPr>
        <w:tc>
          <w:tcPr>
            <w:tcW w:w="5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680" w:type="dxa"/>
            <w:vAlign w:val="bottom"/>
          </w:tcPr>
          <w:p>
            <w:pPr>
              <w:jc w:val="right"/>
              <w:ind w:right="53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60" w:type="dxa"/>
            <w:vAlign w:val="bottom"/>
          </w:tcPr>
          <w:p>
            <w:pPr>
              <w:spacing w:after="0"/>
              <w:rPr>
                <w:sz w:val="15"/>
                <w:szCs w:val="15"/>
                <w:color w:val="auto"/>
              </w:rPr>
            </w:pPr>
          </w:p>
        </w:tc>
        <w:tc>
          <w:tcPr>
            <w:tcW w:w="680" w:type="dxa"/>
            <w:vAlign w:val="bottom"/>
          </w:tcPr>
          <w:p>
            <w:pPr>
              <w:jc w:val="right"/>
              <w:ind w:right="53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w:t>
            </w:r>
          </w:p>
        </w:tc>
        <w:tc>
          <w:tcPr>
            <w:tcW w:w="24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40" w:type="dxa"/>
            <w:vAlign w:val="bottom"/>
          </w:tcPr>
          <w:p>
            <w:pPr>
              <w:spacing w:after="0"/>
              <w:rPr>
                <w:sz w:val="15"/>
                <w:szCs w:val="15"/>
                <w:color w:val="auto"/>
              </w:rPr>
            </w:pP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0" w:type="dxa"/>
            <w:vAlign w:val="bottom"/>
          </w:tcPr>
          <w:p>
            <w:pPr>
              <w:spacing w:after="0"/>
              <w:rPr>
                <w:sz w:val="1"/>
                <w:szCs w:val="1"/>
                <w:color w:val="auto"/>
              </w:rPr>
            </w:pPr>
          </w:p>
        </w:tc>
      </w:tr>
      <w:tr>
        <w:trPr>
          <w:trHeight w:val="131"/>
        </w:trPr>
        <w:tc>
          <w:tcPr>
            <w:tcW w:w="5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3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equivalents excluded from the diluted calculation because they would have been</w:t>
            </w:r>
          </w:p>
        </w:tc>
        <w:tc>
          <w:tcPr>
            <w:tcW w:w="68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4"/>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antidilutive (in thousands)</w:t>
            </w:r>
          </w:p>
        </w:tc>
        <w:tc>
          <w:tcPr>
            <w:tcW w:w="6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color w:val="auto"/>
        </w:rPr>
        <w:t>11. STOCKHOLDERS’ EQUITY</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2023 Shelf Registration</w:t>
      </w:r>
    </w:p>
    <w:p>
      <w:pPr>
        <w:spacing w:after="0" w:line="189" w:lineRule="exact"/>
        <w:rPr>
          <w:sz w:val="20"/>
          <w:szCs w:val="20"/>
          <w:color w:val="auto"/>
        </w:rPr>
      </w:pPr>
    </w:p>
    <w:p>
      <w:pPr>
        <w:ind w:right="120" w:firstLine="191"/>
        <w:spacing w:after="0" w:line="254" w:lineRule="auto"/>
        <w:rPr>
          <w:sz w:val="20"/>
          <w:szCs w:val="20"/>
          <w:color w:val="auto"/>
        </w:rPr>
      </w:pPr>
      <w:r>
        <w:rPr>
          <w:rFonts w:ascii="Times New Roman" w:cs="Times New Roman" w:eastAsia="Times New Roman" w:hAnsi="Times New Roman"/>
          <w:sz w:val="16"/>
          <w:szCs w:val="16"/>
          <w:color w:val="auto"/>
        </w:rPr>
        <w:t>The Company filed a shelf registration statement on Form S-3 (File No. 333-272984) with the SEC on June 28, 2023, which became effective on July 10, 2023. Pursuant to this shelf registration statement, the Company may offer and sell up to $200 million in securities, in aggregate. The Company retains broad discretion over the use of the net proceeds from the sale of the securities offered.</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Common Stock Issuance</w:t>
      </w:r>
    </w:p>
    <w:p>
      <w:pPr>
        <w:spacing w:after="0" w:line="200" w:lineRule="exact"/>
        <w:rPr>
          <w:sz w:val="20"/>
          <w:szCs w:val="20"/>
          <w:color w:val="auto"/>
        </w:rPr>
      </w:pPr>
    </w:p>
    <w:p>
      <w:pPr>
        <w:ind w:right="40" w:firstLine="191"/>
        <w:spacing w:after="0" w:line="246" w:lineRule="auto"/>
        <w:rPr>
          <w:sz w:val="20"/>
          <w:szCs w:val="20"/>
          <w:color w:val="auto"/>
        </w:rPr>
      </w:pPr>
      <w:r>
        <w:rPr>
          <w:rFonts w:ascii="Times New Roman" w:cs="Times New Roman" w:eastAsia="Times New Roman" w:hAnsi="Times New Roman"/>
          <w:sz w:val="16"/>
          <w:szCs w:val="16"/>
          <w:color w:val="auto"/>
        </w:rPr>
        <w:t>On February 9, 2024, the Company entered into an At Market Issuance Sales Agreement with B. Riley Securities, Inc., Lake Street Capital Markets, LLC and Roth Capital Partners, LLC (collectively, the “Agents”), relating to the ATM offering of shares of the Company’s Class A Common Stock. Pursuant to this sales agreement, the Company sold an aggregate of 115,661 and 567,491 shares of its Class A Common Stock at the market price in the three and nine months ended September 30, 2024, respectively, for a total of $4.6 million and $24.5 million, respectively. After expenses and commissions paid to the Agents, the Company’s proceeds totaled $4.5 million and $23.8 million in the three and nine months ended September 30, 2024, respectively. Additionally, the Company recorded direct costs of less than $0.1 million and $0.1 million in the three and nine months ended September 30, 2024, respectively, related to the issuance. The shares of Class A Common Stock were issued pursuant to the Company’s shelf registration statement on Form S-3 (File No. 333-272984), which became effective on July 10, 2023, and a prospectus supplement dated February 9, 2024.</w:t>
      </w:r>
    </w:p>
    <w:p>
      <w:pPr>
        <w:spacing w:after="0" w:line="176"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Pursuant to a separate sales agreement with its Agents, the Company sold, through its ATM offering, an aggregate of 0 and 722,568 shares of its Class A Common Stock at the market price in the three and nine months ended September 30, 2023, respectively, for a total of $0 and $24.4 million, respectively. After expenses and commissions paid to the Agents, the Company’s proceeds totaled $0 and $23.4 million in the three and nine months ended September 30, 2023, respectively. Additionally, the Company recorded direct costs of $0 and $0.2 million in the three and nine months ended September 30, 2023, respectively, related to the issuance. The shares of Class A Common Stock were issued pursuant to the Company’s shelf registration statement on Form S-3 (File No. 333-239242), which became effective on August 5, 2020, and two prospectus supplements dated December 31, 2020 and December 5, 2022, respectively.</w:t>
      </w:r>
    </w:p>
    <w:p>
      <w:pPr>
        <w:spacing w:after="0" w:line="164" w:lineRule="exact"/>
        <w:rPr>
          <w:sz w:val="20"/>
          <w:szCs w:val="20"/>
          <w:color w:val="auto"/>
        </w:rPr>
      </w:pPr>
    </w:p>
    <w:p>
      <w:pPr>
        <w:ind w:right="60" w:firstLine="191"/>
        <w:spacing w:after="0" w:line="307" w:lineRule="auto"/>
        <w:rPr>
          <w:sz w:val="20"/>
          <w:szCs w:val="20"/>
          <w:color w:val="auto"/>
        </w:rPr>
      </w:pPr>
      <w:r>
        <w:rPr>
          <w:rFonts w:ascii="Times New Roman" w:cs="Times New Roman" w:eastAsia="Times New Roman" w:hAnsi="Times New Roman"/>
          <w:sz w:val="14"/>
          <w:szCs w:val="14"/>
          <w:color w:val="auto"/>
        </w:rPr>
        <w:t>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repayment of indebtedness, potential acquisitions and other business opportunities. Pending any specific application, the Company may initially invest funds in short-term marketable securities or apply them to the reduction of indebtedness.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7" w:right="339" w:bottom="1440" w:gutter="0" w:footer="0" w:header="0"/>
        </w:sectPr>
      </w:pPr>
    </w:p>
    <w:bookmarkStart w:id="24" w:name="page25"/>
    <w:bookmarkEnd w:id="24"/>
    <w:p>
      <w:pPr>
        <w:ind w:left="200"/>
        <w:spacing w:after="0"/>
        <w:rPr>
          <w:sz w:val="20"/>
          <w:szCs w:val="20"/>
          <w:color w:val="auto"/>
        </w:rPr>
      </w:pPr>
      <w:r>
        <w:rPr>
          <w:rFonts w:ascii="Times New Roman" w:cs="Times New Roman" w:eastAsia="Times New Roman" w:hAnsi="Times New Roman"/>
          <w:sz w:val="16"/>
          <w:szCs w:val="16"/>
          <w:i w:val="1"/>
          <w:iCs w:val="1"/>
          <w:color w:val="auto"/>
        </w:rPr>
        <w:t>Rights Agreement</w:t>
      </w:r>
    </w:p>
    <w:p>
      <w:pPr>
        <w:spacing w:after="0" w:line="200"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On May 28, 2024, the Company entered into a Sixth Amendment to the Section 382 Rights Agreement (the “Rights Agreement”), which amends the Rights Agreement, dated as of April 6, 2016, by and among the Company, and Computershare Trust Company, N.A. and Computershare Inc., as rights agent, as previously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and (v) the Fifth Amendment to the Rights Agreement dated as of June 20, 2023.</w:t>
      </w:r>
    </w:p>
    <w:p>
      <w:pPr>
        <w:spacing w:after="0" w:line="174"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Fifth Amendment to the Rights Agreement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spacing w:after="0" w:line="159" w:lineRule="exact"/>
        <w:rPr>
          <w:sz w:val="20"/>
          <w:szCs w:val="20"/>
          <w:color w:val="auto"/>
        </w:rPr>
      </w:pPr>
    </w:p>
    <w:p>
      <w:pPr>
        <w:ind w:right="100" w:firstLine="191"/>
        <w:spacing w:after="0" w:line="273" w:lineRule="auto"/>
        <w:rPr>
          <w:sz w:val="20"/>
          <w:szCs w:val="20"/>
          <w:color w:val="auto"/>
        </w:rPr>
      </w:pPr>
      <w:r>
        <w:rPr>
          <w:rFonts w:ascii="Times New Roman" w:cs="Times New Roman" w:eastAsia="Times New Roman" w:hAnsi="Times New Roman"/>
          <w:sz w:val="16"/>
          <w:szCs w:val="16"/>
          <w:color w:val="auto"/>
        </w:rPr>
        <w:t>The Fifth Amendment was not adopted as a result of, or in response to, any effort to acquire control of the Company. The Fifth Amendment was adopted in order to preserve for the Company’s stockholders the long-term value of the Company’s NOL carry-forwards for United States federal income tax purposes and other tax benefits.</w:t>
      </w:r>
    </w:p>
    <w:p>
      <w:pPr>
        <w:spacing w:after="0" w:line="154" w:lineRule="exact"/>
        <w:rPr>
          <w:sz w:val="20"/>
          <w:szCs w:val="20"/>
          <w:color w:val="auto"/>
        </w:rPr>
      </w:pPr>
    </w:p>
    <w:p>
      <w:pPr>
        <w:ind w:right="240" w:firstLine="191"/>
        <w:spacing w:after="0" w:line="259" w:lineRule="auto"/>
        <w:rPr>
          <w:sz w:val="20"/>
          <w:szCs w:val="20"/>
          <w:color w:val="auto"/>
        </w:rPr>
      </w:pPr>
      <w:r>
        <w:rPr>
          <w:rFonts w:ascii="Times New Roman" w:cs="Times New Roman" w:eastAsia="Times New Roman" w:hAnsi="Times New Roman"/>
          <w:sz w:val="16"/>
          <w:szCs w:val="16"/>
          <w:color w:val="auto"/>
        </w:rPr>
        <w:t>The Sixth Amendment was approved by the Board on May 28, 2024, and makes clarifying changes relating to the definition of “Beneficial Owner”, “beneficially owned” and “Beneficial Ownership” contained in the Rights Agreement.</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Awards under Executive Incentive Plan</w:t>
      </w:r>
    </w:p>
    <w:p>
      <w:pPr>
        <w:spacing w:after="0" w:line="200" w:lineRule="exact"/>
        <w:rPr>
          <w:sz w:val="20"/>
          <w:szCs w:val="20"/>
          <w:color w:val="auto"/>
        </w:rPr>
      </w:pPr>
    </w:p>
    <w:p>
      <w:pPr>
        <w:ind w:right="160" w:firstLine="191"/>
        <w:spacing w:after="0" w:line="273" w:lineRule="auto"/>
        <w:rPr>
          <w:sz w:val="20"/>
          <w:szCs w:val="20"/>
          <w:color w:val="auto"/>
        </w:rPr>
      </w:pPr>
      <w:r>
        <w:rPr>
          <w:rFonts w:ascii="Times New Roman" w:cs="Times New Roman" w:eastAsia="Times New Roman" w:hAnsi="Times New Roman"/>
          <w:sz w:val="16"/>
          <w:szCs w:val="16"/>
          <w:color w:val="auto"/>
        </w:rPr>
        <w:t>Under the Company’s 2019 Equity Incentive Plan, participating employees are eligible to receive grants of equity awards such as notional stock units and SARs. In April 2020, under the 2019 Equity Incentive Plan, notional stock units and SARs were granted to participating executives with a vesting period ending in April 2023.</w:t>
      </w:r>
    </w:p>
    <w:p>
      <w:pPr>
        <w:spacing w:after="0" w:line="144" w:lineRule="exact"/>
        <w:rPr>
          <w:sz w:val="20"/>
          <w:szCs w:val="20"/>
          <w:color w:val="auto"/>
        </w:rPr>
      </w:pPr>
    </w:p>
    <w:p>
      <w:pPr>
        <w:ind w:right="60" w:firstLine="191"/>
        <w:spacing w:after="0" w:line="254" w:lineRule="auto"/>
        <w:rPr>
          <w:sz w:val="20"/>
          <w:szCs w:val="20"/>
          <w:color w:val="auto"/>
        </w:rPr>
      </w:pPr>
      <w:r>
        <w:rPr>
          <w:rFonts w:ascii="Times New Roman" w:cs="Times New Roman" w:eastAsia="Times New Roman" w:hAnsi="Times New Roman"/>
          <w:sz w:val="16"/>
          <w:szCs w:val="16"/>
          <w:color w:val="auto"/>
        </w:rPr>
        <w:t xml:space="preserve">In March 2022, 2023 and 2024 restricted stock units were granted to participating executives with a vesting period ending in March 2025, 2026 and 2027, respectively. The restricted stock unit awards are time based and payable in shares of the Company’s Class A Common Stock subject to achieving a threshold level of cumulative net income over the vesting period. The grant-date fair value is included in </w:t>
      </w:r>
      <w:r>
        <w:rPr>
          <w:rFonts w:ascii="Times New Roman" w:cs="Times New Roman" w:eastAsia="Times New Roman" w:hAnsi="Times New Roman"/>
          <w:sz w:val="16"/>
          <w:szCs w:val="16"/>
          <w:i w:val="1"/>
          <w:iCs w:val="1"/>
          <w:color w:val="auto"/>
        </w:rPr>
        <w:t>Excess of Capital Over Par Value</w:t>
      </w:r>
      <w:r>
        <w:rPr>
          <w:rFonts w:ascii="Times New Roman" w:cs="Times New Roman" w:eastAsia="Times New Roman" w:hAnsi="Times New Roman"/>
          <w:sz w:val="16"/>
          <w:szCs w:val="16"/>
          <w:color w:val="auto"/>
        </w:rPr>
        <w:t xml:space="preserve"> as the value is amortized over the vesting period.</w:t>
      </w:r>
    </w:p>
    <w:p>
      <w:pPr>
        <w:spacing w:after="0" w:line="169" w:lineRule="exact"/>
        <w:rPr>
          <w:sz w:val="20"/>
          <w:szCs w:val="20"/>
          <w:color w:val="auto"/>
        </w:rPr>
      </w:pPr>
    </w:p>
    <w:p>
      <w:pPr>
        <w:ind w:right="300" w:firstLine="191"/>
        <w:spacing w:after="0" w:line="259" w:lineRule="auto"/>
        <w:rPr>
          <w:sz w:val="20"/>
          <w:szCs w:val="20"/>
          <w:color w:val="auto"/>
        </w:rPr>
      </w:pPr>
      <w:r>
        <w:rPr>
          <w:rFonts w:ascii="Times New Roman" w:cs="Times New Roman" w:eastAsia="Times New Roman" w:hAnsi="Times New Roman"/>
          <w:sz w:val="16"/>
          <w:szCs w:val="16"/>
          <w:color w:val="auto"/>
        </w:rPr>
        <w:t>The plan payouts for the 2020-2022 performance period were settled in Class A Common Stock in March and April 2023. In the first quarter of 2023, the Company withheld $1.9 million of shares that vested during the period to fund the tax withholding obligations under the terms of the stock-based compensation plan.</w:t>
      </w:r>
    </w:p>
    <w:p>
      <w:pPr>
        <w:spacing w:after="0" w:line="165" w:lineRule="exact"/>
        <w:rPr>
          <w:sz w:val="20"/>
          <w:szCs w:val="20"/>
          <w:color w:val="auto"/>
        </w:rPr>
      </w:pPr>
    </w:p>
    <w:p>
      <w:pPr>
        <w:ind w:right="60" w:firstLine="191"/>
        <w:spacing w:after="0" w:line="273" w:lineRule="auto"/>
        <w:rPr>
          <w:sz w:val="20"/>
          <w:szCs w:val="20"/>
          <w:color w:val="auto"/>
        </w:rPr>
      </w:pPr>
      <w:r>
        <w:rPr>
          <w:rFonts w:ascii="Times New Roman" w:cs="Times New Roman" w:eastAsia="Times New Roman" w:hAnsi="Times New Roman"/>
          <w:sz w:val="16"/>
          <w:szCs w:val="16"/>
          <w:color w:val="auto"/>
        </w:rPr>
        <w:t>The Class A Common Stock issued for the 2021-2023 performance period were issued in March 2024. The Company withheld $0.1 million of shares to fund the tax withholding obligations under the terms of the stock-based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6" w:right="319" w:bottom="1440" w:gutter="0" w:footer="0" w:header="0"/>
        </w:sectPr>
      </w:pPr>
    </w:p>
    <w:bookmarkStart w:id="25" w:name="page26"/>
    <w:bookmarkEnd w:id="25"/>
    <w:p>
      <w:pPr>
        <w:jc w:val="both"/>
        <w:ind w:right="8020" w:firstLine="5"/>
        <w:spacing w:after="0" w:line="561" w:lineRule="auto"/>
        <w:tabs>
          <w:tab w:leader="none" w:pos="233"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Commitments under SWU Purchase Agreements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TENEX</w:t>
      </w:r>
    </w:p>
    <w:p>
      <w:pPr>
        <w:spacing w:after="0" w:line="200" w:lineRule="exact"/>
        <w:rPr>
          <w:sz w:val="20"/>
          <w:szCs w:val="20"/>
          <w:color w:val="auto"/>
        </w:rPr>
      </w:pPr>
    </w:p>
    <w:p>
      <w:pPr>
        <w:ind w:right="80" w:firstLine="191"/>
        <w:spacing w:after="0" w:line="248" w:lineRule="auto"/>
        <w:rPr>
          <w:sz w:val="20"/>
          <w:szCs w:val="20"/>
          <w:color w:val="auto"/>
        </w:rPr>
      </w:pPr>
      <w:r>
        <w:rPr>
          <w:rFonts w:ascii="Times New Roman" w:cs="Times New Roman" w:eastAsia="Times New Roman" w:hAnsi="Times New Roman"/>
          <w:sz w:val="16"/>
          <w:szCs w:val="16"/>
          <w:color w:val="auto"/>
        </w:rPr>
        <w:t>The Russian government-owned entity TENEX is a major supplier of SWU to the Company. Under the 2011 TENEX Supply Contract, the Company purchases SWU contained in LEU received from TENEX, and the Company delivers natural uranium hexafluoride to TENEX for the LEU’s uranium component. The LEU that the Company obtains from TENEX is subject to quotas and other restrictions applicable to commercial Russian LEU. Further, the ability of the Company or TENEX to perform under the TENEX Supply Contract is vulnerable to (i) sanctions or restrictions that have been or might be imposed by Russia, the United States, or other countries as a result of the war in Ukraine, or otherwise, (ii) customers and other parties who may object to receiving or handling Russian LEU or SWU, or (iii) suppliers and service providers seeking to limit their involvement with business related to Russia.</w:t>
      </w:r>
    </w:p>
    <w:p>
      <w:pPr>
        <w:spacing w:after="0" w:line="164" w:lineRule="exact"/>
        <w:rPr>
          <w:sz w:val="20"/>
          <w:szCs w:val="20"/>
          <w:color w:val="auto"/>
        </w:rPr>
      </w:pPr>
    </w:p>
    <w:p>
      <w:pPr>
        <w:ind w:right="180" w:firstLine="191"/>
        <w:spacing w:after="0" w:line="315" w:lineRule="auto"/>
        <w:rPr>
          <w:sz w:val="20"/>
          <w:szCs w:val="20"/>
          <w:color w:val="auto"/>
        </w:rPr>
      </w:pPr>
      <w:r>
        <w:rPr>
          <w:rFonts w:ascii="Times New Roman" w:cs="Times New Roman" w:eastAsia="Times New Roman" w:hAnsi="Times New Roman"/>
          <w:sz w:val="14"/>
          <w:szCs w:val="14"/>
          <w:color w:val="auto"/>
        </w:rPr>
        <w:t>The TENEX Supply Contract originally was signed with commitments through 2022, but was modified in 2015 to give the Company the right to reschedule certain original commitments of SWU quantities into the period 2023 and beyond, in return for the purchase of additional SWU quantities in those years. The Company has exercised this right to reschedule SWU quantities in each year through December 31, 2023. As a result of exercising this right, the Company has purchase commitments that could extend to 2028.</w:t>
      </w:r>
    </w:p>
    <w:p>
      <w:pPr>
        <w:spacing w:after="0" w:line="119" w:lineRule="exact"/>
        <w:rPr>
          <w:sz w:val="20"/>
          <w:szCs w:val="20"/>
          <w:color w:val="auto"/>
        </w:rPr>
      </w:pPr>
    </w:p>
    <w:p>
      <w:pPr>
        <w:ind w:right="120" w:firstLine="191"/>
        <w:spacing w:after="0" w:line="273" w:lineRule="auto"/>
        <w:rPr>
          <w:sz w:val="20"/>
          <w:szCs w:val="20"/>
          <w:color w:val="auto"/>
        </w:rPr>
      </w:pPr>
      <w:r>
        <w:rPr>
          <w:rFonts w:ascii="Times New Roman" w:cs="Times New Roman" w:eastAsia="Times New Roman" w:hAnsi="Times New Roman"/>
          <w:sz w:val="16"/>
          <w:szCs w:val="16"/>
          <w:color w:val="auto"/>
        </w:rPr>
        <w:t>The TENEX Supply Contract provides that the Company must pay for all SWU in its minimum purchase obligation each year, even if it fails to submit orders for such SWU. In such a case, the Company would pay for the SWU, but have to take the unordered SWU in the following year.</w:t>
      </w:r>
    </w:p>
    <w:p>
      <w:pPr>
        <w:spacing w:after="0" w:line="144"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Pricing terms for SWU under the TENEX Supply Contract are based on a combination of market-related price points and other factors. This formula was subject to an adjustment at the end of 2018 that reduced the unit costs of SWU under this contract in 2019 and for the duration of the contract.</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Orano</w:t>
      </w:r>
    </w:p>
    <w:p>
      <w:pPr>
        <w:spacing w:after="0" w:line="189" w:lineRule="exact"/>
        <w:rPr>
          <w:sz w:val="20"/>
          <w:szCs w:val="20"/>
          <w:color w:val="auto"/>
        </w:rPr>
      </w:pPr>
    </w:p>
    <w:p>
      <w:pPr>
        <w:ind w:right="40" w:firstLine="191"/>
        <w:spacing w:after="0" w:line="300" w:lineRule="auto"/>
        <w:rPr>
          <w:sz w:val="20"/>
          <w:szCs w:val="20"/>
          <w:color w:val="auto"/>
        </w:rPr>
      </w:pPr>
      <w:r>
        <w:rPr>
          <w:rFonts w:ascii="Times New Roman" w:cs="Times New Roman" w:eastAsia="Times New Roman" w:hAnsi="Times New Roman"/>
          <w:sz w:val="14"/>
          <w:szCs w:val="14"/>
          <w:color w:val="auto"/>
        </w:rPr>
        <w:t>In 2018, the Company entered into the Orano Supply Agreement with a French company, Orano Cycle, for the long-term supply of SWU contained in LEU. The Orano Supply Agreement subsequently was assigned by Orano Cycle to its affiliate, Orano CE. Under the amended Orano Supply Agreement, the supply of SWU runs through 2030. The Orano Supply Agreement provides significant flexibility to adjust purchase volumes, subject to annual minimums and maximums in fixed amounts that vary year by year. The pricing for the SWU purchased by the Company is determined by a formula that uses a combination of market-related price points and other factors and is subject to certain floors and ceilings.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Milestones Under the 2002 DOE-USEC Agreement</w:t>
      </w:r>
    </w:p>
    <w:p>
      <w:pPr>
        <w:spacing w:after="0" w:line="200" w:lineRule="exact"/>
        <w:rPr>
          <w:sz w:val="20"/>
          <w:szCs w:val="20"/>
          <w:color w:val="auto"/>
        </w:rPr>
      </w:pPr>
    </w:p>
    <w:p>
      <w:pPr>
        <w:ind w:right="100" w:firstLine="191"/>
        <w:spacing w:after="0" w:line="285" w:lineRule="auto"/>
        <w:rPr>
          <w:sz w:val="20"/>
          <w:szCs w:val="20"/>
          <w:color w:val="auto"/>
        </w:rPr>
      </w:pPr>
      <w:r>
        <w:rPr>
          <w:rFonts w:ascii="Times New Roman" w:cs="Times New Roman" w:eastAsia="Times New Roman" w:hAnsi="Times New Roman"/>
          <w:sz w:val="14"/>
          <w:szCs w:val="14"/>
          <w:color w:val="auto"/>
        </w:rPr>
        <w:t>The Company’s predecessor, USEC Inc., and DOE signed the 2002 DOE-USEC Agreement dated June 17, 2002, pursuant to which the parties made long-term commitments directed at resolving issues related to the stability and security of the domestic uranium enrichment industry. This agreement requires Centrus to develop, demonstrate and deploy advanced enrichment technology in accordance with milestones, including the deployment of a commercial American Centrifuge Plant, and provides for remedies in the event of a failure to meet a milestone under certain circumstances, including terminating the agreement, revoking Centrus’ access to DOE’s centrifuge technology that is required for the success of the Company’s ongoing work with the American Centrifuge technology, requiring Centrus to transfer certain rights in the American Centrifuge technology and facilities to DOE, and requiring Centrus to reimburse DOE for certain costs associated with the American Centrifuge technology. The agreement provides further that if a delaying event beyond the control and without the fault or negligence of Centrus occurs that could affect Centrus’ ability to meet the American Centrifuge Plant milestones under the agreement, DOE and the Company will jointly meet to discuss in good faith possible adjustments to the milestones as appropriate to accommodate the delaying event. In 2014, the 2002 DOE-USEC Agreement and other agreements between the Company and DOE were assumed by Centrus subject to an express reservation of all rights, remedies and defenses by DOE and the Company under those agreements. DOE and the Company have agreed that all rights, remedies and defenses of the parties with respect to any missed milestones and all other matters under the 2002 DOE-USEC Agreement continue to be preserved, and that the time limits for each party to respond to any missed milestones continue to be tolled.</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From time to time, the Company is involved in various pending legal proceedings, including the pending legal proceedings described below.</w:t>
      </w:r>
    </w:p>
    <w:p>
      <w:pPr>
        <w:spacing w:after="0" w:line="187"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In 1993, USEC-Government entered into a lease for the Paducah and Portsmouth GDPs with the DOE. As part of that lease, DOE and USEC-Government also entered into a memorandum of understanding (“Power MOU”) regarding power purchase agreements between DOE and the providers of power to the GDPs. Under the Power MOU, DOE and USEC-Government agreed upon the allocation of rights and liabilities under the power purchase agreements. In 1998, USEC-Government was privatized and became Enrichment Corp., now a principal subsidiary of the Company. Pursuant to legislation authorizing the privatization, the lease for the GDPs, which included the Power MOU as an Appendix, was transferred to Enrichment Corp., and Enrichment Corp. was given the right to purchase power from DOE. The Paducah GDP was shut down in 2013 and deleased by Enrichment Corp. in 2014. On August 4, 2021, DOE informally informed Enrichment Corp. that the Joppa Power Plant, which had supplied power to the Paducah GDP, was planned to undergo D&amp;D. According to DOE, the power purchase agreement with Electric Energy Inc. requires DOE to pay for a portion of the D&amp;D costs of the Joppa Power Plant, and DOE has asserted that a portion of DOE’s liability is the responsibility of Enrichment Corp. under the Power MOU in the amount of approximately $9.6 million. The Company is assessing DOE’s assertions including whether all or a portion of any such potential liability had been previously settled. The Company has not formed an opinion on the merits of DOE’s claim nor is it able to estimate its potential liability, if any, for such claim and no expense or liability has been accrued.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7" w:name="page28"/>
    <w:bookmarkEnd w:id="27"/>
    <w:p>
      <w:pPr>
        <w:ind w:right="40" w:firstLine="191"/>
        <w:spacing w:after="0" w:line="282" w:lineRule="auto"/>
        <w:rPr>
          <w:sz w:val="20"/>
          <w:szCs w:val="20"/>
          <w:color w:val="auto"/>
        </w:rPr>
      </w:pPr>
      <w:r>
        <w:rPr>
          <w:rFonts w:ascii="Times New Roman" w:cs="Times New Roman" w:eastAsia="Times New Roman" w:hAnsi="Times New Roman"/>
          <w:sz w:val="14"/>
          <w:szCs w:val="14"/>
          <w:color w:val="auto"/>
        </w:rPr>
        <w:t>On May 26, 2019, the Company, Enrichment Corp., and six other DOE contractors who have operated facilities at the Portsmouth GDP (including, in the case of the Company, the American Centrifuge Plant site located on the premises) were named as defendants in a class action complaint filed by Ursula McGlone, Jason McGlone, Julia Dunham, and K.D. and C.D., minor children by and through their parent and natural guardian Julia Dunham (collectively, the “McGlone Plaintiffs”) in the U.S. District Court in the Southern District of Ohio, Eastern Division. The complaint seeks damages for alleged off-site contamination allegedly resulting from activities on the Portsmouth GDP site. The McGlone Plaintiffs are seeking to represent a class of (i) all current or former residents within a seven-mile radius of the Portsmouth GDP site; and (ii) all students and their parents at the Zahn’s Corner Middle School from 1993-present. The complaint was amended on December 10, 2019, and on January 10, 2020 to add additional plaintiffs and new claims. On July 31, 2020, the court granted in part and denied in part the defendants’ motion to dismiss the case. The court dismissed ten of the fifteen claims and allowed the remaining claims to proceed to the next stage of the litigation process. On August 18, 2020, the McGlone Plaintiffs filed a motion for leave to file a third amended complaint and notice of dismissal of three of the individual plaintiffs. On March 18, 2021, the McGlone Plaintiffs filed a motion for leave to file a fourth amended complaint to add new plaintiffs and allegations. On March 19, 2021, the court granted the McGlone Plaintiffs’ motion for leave to amend the complaint to include Price-Anderson Act and eight other state law claims. On May 24, 2021, the Company, Enrichment Corp., and the other defendants filed their motion to dismiss the complaint. On March 31, 2022, the court granted the Company’s motion in part by dismissing claims brought on behalf of the minor children but allowed the other claims to proceed. As such, the discovery stage of litigation is continuing. On April 28, 2022, the Company, Enrichment Corp., and the other defendants filed their answer to the fourth amended complaint. The Company believes that its operations at the Portsmouth GDP site were fully in compliance with the NRC’s regulations. Further, the Company and Enrichment Corp. believe that any such liability should be indemnified under the Price-Anderson Act. The Company and Enrichment Corp. have provided notifications to DOE required to invoke indemnification under the Price-Anderson Act and other contractual provisions.</w:t>
      </w:r>
    </w:p>
    <w:p>
      <w:pPr>
        <w:spacing w:after="0" w:line="344" w:lineRule="exact"/>
        <w:rPr>
          <w:sz w:val="20"/>
          <w:szCs w:val="20"/>
          <w:color w:val="auto"/>
        </w:rPr>
      </w:pPr>
    </w:p>
    <w:p>
      <w:pPr>
        <w:ind w:right="40" w:firstLine="191"/>
        <w:spacing w:after="0" w:line="287" w:lineRule="auto"/>
        <w:rPr>
          <w:sz w:val="20"/>
          <w:szCs w:val="20"/>
          <w:color w:val="auto"/>
        </w:rPr>
      </w:pPr>
      <w:r>
        <w:rPr>
          <w:rFonts w:ascii="Times New Roman" w:cs="Times New Roman" w:eastAsia="Times New Roman" w:hAnsi="Times New Roman"/>
          <w:sz w:val="14"/>
          <w:szCs w:val="14"/>
          <w:color w:val="auto"/>
        </w:rPr>
        <w:t>On June 8, 2022, the Company, Enrichment Corp., and six other DOE contractors who operated facilities at the Portsmouth GDP were named as defendants in a complaint filed by Brad Allen Lykins, as administrator of the estate of Braden Aaron Lee Lykins in the U.S. District Court in the Southern District of Ohio, Eastern Division (the “Lykins Complaint”). In March 2021, Brayden Lykins, who was thirteen years old, passed away from leukemia. The complaint alleges that the defendants released radiation into the environment in violation of the Price-Anderson Act causing Lykins’ death and seeks monetary damages. On August 30, 2022, the Company, Enrichment Corp., and the other defendants filed their answer to the Lykins Complaint. The Company and Enrichment Corp. believe that their operations at the Portsmouth GDP site were fully in compliance with the NRC’s regulations. Further, the Company and Enrichment Corp. believe that any such liability should be indemnified by DOE under the Price-Anderson Act. The Company and Enrichment Corp. have provided notifications to DOE required to invoke indemnification under the Price-Anderson Act and other contractual provisions.</w:t>
      </w:r>
    </w:p>
    <w:p>
      <w:pPr>
        <w:spacing w:after="0" w:line="148" w:lineRule="exact"/>
        <w:rPr>
          <w:sz w:val="20"/>
          <w:szCs w:val="20"/>
          <w:color w:val="auto"/>
        </w:rPr>
      </w:pPr>
    </w:p>
    <w:p>
      <w:pPr>
        <w:ind w:firstLine="191"/>
        <w:spacing w:after="0" w:line="286" w:lineRule="auto"/>
        <w:rPr>
          <w:sz w:val="20"/>
          <w:szCs w:val="20"/>
          <w:color w:val="auto"/>
        </w:rPr>
      </w:pPr>
      <w:r>
        <w:rPr>
          <w:rFonts w:ascii="Times New Roman" w:cs="Times New Roman" w:eastAsia="Times New Roman" w:hAnsi="Times New Roman"/>
          <w:sz w:val="14"/>
          <w:szCs w:val="14"/>
          <w:color w:val="auto"/>
        </w:rPr>
        <w:t>On March 8, 2023, the Company, Enrichment Corp., and six other DOE contractors that operated facilities at the Portsmouth GDP were named as defendants in a complaint filed by Christian Rose in the U.S. District Court in the Southern District of Ohio, Eastern Division (the “Rose Complaint”). Christian Rose was diagnosed with cancer in June 2022. Although Mr. Rose is an adult, he attended the Zahn’s Corner Middle School, which was closed a few years ago due to contamination and is in the vicinity of the plant. The Rose Complaint alleges that the defendants released radiation into the environment in violation of the Price-Anderson Act causing death – even though the plaintiff is still alive – and seeks monetary damages in the nature of past and future medical expenses, pain and suffering and punitive damages, among others. On May 15, 2023, the Company, Enrichment Corp. and the other defendants filed their answers to the Rose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28" w:name="page29"/>
    <w:bookmarkEnd w:id="28"/>
    <w:p>
      <w:pPr>
        <w:ind w:firstLine="191"/>
        <w:spacing w:after="0" w:line="285" w:lineRule="auto"/>
        <w:rPr>
          <w:sz w:val="20"/>
          <w:szCs w:val="20"/>
          <w:color w:val="auto"/>
        </w:rPr>
      </w:pPr>
      <w:r>
        <w:rPr>
          <w:rFonts w:ascii="Times New Roman" w:cs="Times New Roman" w:eastAsia="Times New Roman" w:hAnsi="Times New Roman"/>
          <w:sz w:val="14"/>
          <w:szCs w:val="14"/>
          <w:color w:val="auto"/>
        </w:rPr>
        <w:t>On November 27, 2023, the Company, Enrichment Corp. and six other DOE contractors who operated facilities at the Portsmouth GDP were named as defendants in a complaint filed by Joshua Shaw in the U.S. District Court in the Southern District of Ohio, Eastern Division (the “Shaw Complaint”). Joshua Shaw was diagnosed with Acute Myeloid Leukemia (“AML”) in August 2008 and after going through chemotherapy continues to experience aftereffects of AML, including anxiety and fatigue. The Shaw Complaint alleges that the defendants released radiation into the environment exposing Mr. Shaw to radiation in violation of the Price-Anderson Act and causing Mr. Shaw’s AML and other injuries. Mr. Shaw seeks monetary damages in the nature of past and future medical expenses for treatment and care, pain and suffering and punitive damages, among others. On February 26, 2024, the Company, Enrichment Corp. and the other defendants filed their motion to dismiss the Shaw Complaint, which was thereafter amended on March 14, 2024. On March 28, 2024, the Company, Enrichment Corp. and the other defendants filed their motion to dismiss the amended Shaw Complaint, and, on May 31, 2024 filed their reply to support their motion to dismiss the amended Shaw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spacing w:after="0" w:line="338"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6"/>
          <w:szCs w:val="16"/>
          <w:color w:val="auto"/>
        </w:rPr>
        <w:t>Centrus is subject to various legal proceedings and claims, either asserted or unasserted, which arise in the ordinary course of business. While the outcome of these claims cannot be predicted with certainty, Centrus does not believe that the outcome of any of these legal matters, individually and in the aggregate, will have a material adverse effect on its cash flows, results of operations, or consolidated financial condition.</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SEGMENT INFORMATION</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Gross profit is the Company’s measure for segment reporting. There were no intersegment sales in the periods presented. Refer to Note 2</w:t>
      </w:r>
      <w:r>
        <w:rPr>
          <w:rFonts w:ascii="Times New Roman" w:cs="Times New Roman" w:eastAsia="Times New Roman" w:hAnsi="Times New Roman"/>
          <w:sz w:val="16"/>
          <w:szCs w:val="16"/>
          <w:i w:val="1"/>
          <w:iCs w:val="1"/>
          <w:color w:val="auto"/>
        </w:rPr>
        <w:t>, Revenue and Contracts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Customers, </w:t>
      </w:r>
      <w:r>
        <w:rPr>
          <w:rFonts w:ascii="Times New Roman" w:cs="Times New Roman" w:eastAsia="Times New Roman" w:hAnsi="Times New Roman"/>
          <w:sz w:val="16"/>
          <w:szCs w:val="16"/>
          <w:color w:val="auto"/>
        </w:rPr>
        <w:t>for additional details on revenue for each segment. The following table presents the Company’s segment information (in millions):</w:t>
      </w:r>
    </w:p>
    <w:p>
      <w:pPr>
        <w:spacing w:after="0" w:line="268"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60" w:type="dxa"/>
            <w:vAlign w:val="bottom"/>
          </w:tcPr>
          <w:p>
            <w:pPr>
              <w:spacing w:after="0"/>
              <w:rPr>
                <w:sz w:val="12"/>
                <w:szCs w:val="12"/>
                <w:color w:val="auto"/>
              </w:rPr>
            </w:pPr>
          </w:p>
        </w:tc>
      </w:tr>
      <w:tr>
        <w:trPr>
          <w:trHeight w:val="179"/>
        </w:trPr>
        <w:tc>
          <w:tcPr>
            <w:tcW w:w="3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tcBorders>
              <w:bottom w:val="single" w:sz="8" w:color="auto"/>
            </w:tcBorders>
          </w:tcPr>
          <w:p>
            <w:pPr>
              <w:spacing w:after="0"/>
              <w:rPr>
                <w:sz w:val="15"/>
                <w:szCs w:val="15"/>
                <w:color w:val="auto"/>
              </w:rPr>
            </w:pPr>
          </w:p>
        </w:tc>
      </w:tr>
      <w:tr>
        <w:trPr>
          <w:trHeight w:val="170"/>
        </w:trPr>
        <w:tc>
          <w:tcPr>
            <w:tcW w:w="3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LEU segment: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Separative work units</w:t>
            </w: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60" w:type="dxa"/>
            <w:vAlign w:val="bottom"/>
          </w:tcPr>
          <w:p>
            <w:pPr>
              <w:spacing w:after="0"/>
              <w:rPr>
                <w:sz w:val="15"/>
                <w:szCs w:val="15"/>
                <w:color w:val="auto"/>
              </w:rPr>
            </w:pPr>
          </w:p>
        </w:tc>
        <w:tc>
          <w:tcPr>
            <w:tcW w:w="5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22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140" w:type="dxa"/>
            <w:vAlign w:val="bottom"/>
          </w:tcPr>
          <w:p>
            <w:pPr>
              <w:spacing w:after="0"/>
              <w:rPr>
                <w:sz w:val="15"/>
                <w:szCs w:val="15"/>
                <w:color w:val="auto"/>
              </w:rPr>
            </w:pPr>
          </w:p>
        </w:tc>
        <w:tc>
          <w:tcPr>
            <w:tcW w:w="5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w:t>
            </w:r>
          </w:p>
        </w:tc>
      </w:tr>
      <w:tr>
        <w:trPr>
          <w:trHeight w:val="180"/>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Uranium</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4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r>
    </w:tbl>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179"/>
        </w:trPr>
        <w:tc>
          <w:tcPr>
            <w:tcW w:w="35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34.8</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40.5</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228.0</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186.9</w:t>
            </w:r>
          </w:p>
        </w:tc>
      </w:tr>
      <w:tr>
        <w:trPr>
          <w:trHeight w:val="178"/>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Technical Solutions segment</w:t>
            </w:r>
          </w:p>
        </w:tc>
        <w:tc>
          <w:tcPr>
            <w:tcW w:w="5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6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2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4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r>
      <w:tr>
        <w:trPr>
          <w:trHeight w:val="174"/>
        </w:trPr>
        <w:tc>
          <w:tcPr>
            <w:tcW w:w="354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5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57.7</w:t>
            </w: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51.3</w:t>
            </w:r>
          </w:p>
        </w:tc>
        <w:tc>
          <w:tcPr>
            <w:tcW w:w="220" w:type="dxa"/>
            <w:vAlign w:val="bottom"/>
          </w:tcPr>
          <w:p>
            <w:pPr>
              <w:spacing w:after="0"/>
              <w:rPr>
                <w:sz w:val="15"/>
                <w:szCs w:val="15"/>
                <w:color w:val="auto"/>
              </w:rPr>
            </w:pPr>
          </w:p>
        </w:tc>
        <w:tc>
          <w:tcPr>
            <w:tcW w:w="5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290.4</w:t>
            </w:r>
          </w:p>
        </w:tc>
        <w:tc>
          <w:tcPr>
            <w:tcW w:w="140" w:type="dxa"/>
            <w:vAlign w:val="bottom"/>
          </w:tcPr>
          <w:p>
            <w:pPr>
              <w:spacing w:after="0"/>
              <w:rPr>
                <w:sz w:val="15"/>
                <w:szCs w:val="15"/>
                <w:color w:val="auto"/>
              </w:rPr>
            </w:pPr>
          </w:p>
        </w:tc>
        <w:tc>
          <w:tcPr>
            <w:tcW w:w="5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216.6</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3"/>
        </w:trPr>
        <w:tc>
          <w:tcPr>
            <w:tcW w:w="35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Segment Gross Profit</w:t>
            </w: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LEU segment</w:t>
            </w:r>
          </w:p>
        </w:tc>
        <w:tc>
          <w:tcPr>
            <w:tcW w:w="5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w:t>
            </w:r>
          </w:p>
        </w:tc>
      </w:tr>
      <w:tr>
        <w:trPr>
          <w:trHeight w:val="177"/>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Technical Solutions segment</w:t>
            </w:r>
          </w:p>
        </w:tc>
        <w:tc>
          <w:tcPr>
            <w:tcW w:w="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99"/>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58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w:t>
            </w:r>
          </w:p>
        </w:tc>
        <w:tc>
          <w:tcPr>
            <w:tcW w:w="2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49.7</w:t>
            </w: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29" w:name="page30"/>
    <w:bookmarkEnd w:id="29"/>
    <w:p>
      <w:pPr>
        <w:ind w:left="200"/>
        <w:spacing w:after="0"/>
        <w:rPr>
          <w:sz w:val="20"/>
          <w:szCs w:val="20"/>
          <w:color w:val="auto"/>
        </w:rPr>
      </w:pPr>
      <w:r>
        <w:rPr>
          <w:rFonts w:ascii="Times New Roman" w:cs="Times New Roman" w:eastAsia="Times New Roman" w:hAnsi="Times New Roman"/>
          <w:sz w:val="16"/>
          <w:szCs w:val="16"/>
          <w:i w:val="1"/>
          <w:iCs w:val="1"/>
          <w:color w:val="auto"/>
        </w:rPr>
        <w:t>Revenue from Major Customers (10% or More of Total Revenue)</w:t>
      </w:r>
    </w:p>
    <w:p>
      <w:pPr>
        <w:spacing w:after="0" w:line="200" w:lineRule="exact"/>
        <w:rPr>
          <w:sz w:val="20"/>
          <w:szCs w:val="20"/>
          <w:color w:val="auto"/>
        </w:rPr>
      </w:pPr>
    </w:p>
    <w:p>
      <w:pPr>
        <w:ind w:right="20" w:firstLine="191"/>
        <w:spacing w:after="0" w:line="307" w:lineRule="auto"/>
        <w:rPr>
          <w:sz w:val="20"/>
          <w:szCs w:val="20"/>
          <w:color w:val="auto"/>
        </w:rPr>
      </w:pPr>
      <w:r>
        <w:rPr>
          <w:rFonts w:ascii="Times New Roman" w:cs="Times New Roman" w:eastAsia="Times New Roman" w:hAnsi="Times New Roman"/>
          <w:sz w:val="14"/>
          <w:szCs w:val="14"/>
          <w:color w:val="auto"/>
        </w:rPr>
        <w:t>In the three months ended September 30, 2024, one customer in the LEU segment individually represented $34.8 million of revenue. In the nine months ended September 30, 2024, four customers in the LEU segment individually represented $69.3 million, $42.3 million, $35.4 million, and $30.2 million of revenue. One customer in the Technical Solutions segment individually represented $21.6 million and $60.3 million of revenue in the three and nine months ended September 30, 2024, respectively.</w:t>
      </w:r>
    </w:p>
    <w:p>
      <w:pPr>
        <w:spacing w:after="0" w:line="125"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6"/>
          <w:szCs w:val="16"/>
          <w:color w:val="auto"/>
        </w:rPr>
        <w:t>In the three months ended September 30, 2023, three customers in the LEU segment individually represented $14.9 million, $12.5 million, and $8.7 million of revenue. In the nine months ended September 30, 2023, two customers in the LEU segment individually represented $54.1 million and $47.8 million of revenue. One customer in the Technical Solutions segment individually represented $10.7 million and $29.4 million of revenue in the three and nine months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755" w:right="5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 xml:space="preserve">Item 2. </w:t>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198" w:lineRule="exact"/>
        <w:rPr>
          <w:sz w:val="20"/>
          <w:szCs w:val="20"/>
          <w:color w:val="auto"/>
        </w:rPr>
      </w:pPr>
    </w:p>
    <w:p>
      <w:pPr>
        <w:ind w:right="220" w:firstLine="191"/>
        <w:spacing w:after="0" w:line="262" w:lineRule="auto"/>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and is qualified in its entirety by reference to, the unaudited Consolidated Financial Statements and related notes appearing elsewhere in this report.</w:t>
      </w:r>
    </w:p>
    <w:p>
      <w:pPr>
        <w:spacing w:after="0" w:line="161" w:lineRule="exact"/>
        <w:rPr>
          <w:sz w:val="20"/>
          <w:szCs w:val="20"/>
          <w:color w:val="auto"/>
        </w:rPr>
      </w:pPr>
    </w:p>
    <w:p>
      <w:pPr>
        <w:ind w:right="20" w:firstLine="191"/>
        <w:spacing w:after="0" w:line="255" w:lineRule="auto"/>
        <w:rPr>
          <w:sz w:val="20"/>
          <w:szCs w:val="20"/>
          <w:color w:val="auto"/>
        </w:rPr>
      </w:pPr>
      <w:r>
        <w:rPr>
          <w:rFonts w:ascii="Times New Roman" w:cs="Times New Roman" w:eastAsia="Times New Roman" w:hAnsi="Times New Roman"/>
          <w:sz w:val="16"/>
          <w:szCs w:val="16"/>
          <w:i w:val="1"/>
          <w:iCs w:val="1"/>
          <w:color w:val="auto"/>
        </w:rPr>
        <w:t>This discussion contains forward-looking statements that involve risks and uncertainties. Actual results could differ significantly from the results discussed in the forward-looking statements particularly in light of the economic, social, and market uncertainty created by, among other things, the war in Ukraine. See “Forward-Looking Statements” at the beginning of this Quarterly Report on Form 10-Q.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89" w:lineRule="exact"/>
        <w:rPr>
          <w:sz w:val="20"/>
          <w:szCs w:val="20"/>
          <w:color w:val="auto"/>
        </w:rPr>
      </w:pPr>
    </w:p>
    <w:p>
      <w:pPr>
        <w:ind w:right="300" w:firstLine="191"/>
        <w:spacing w:after="0" w:line="254" w:lineRule="auto"/>
        <w:rPr>
          <w:sz w:val="20"/>
          <w:szCs w:val="20"/>
          <w:color w:val="auto"/>
        </w:rPr>
      </w:pPr>
      <w:r>
        <w:rPr>
          <w:rFonts w:ascii="Times New Roman" w:cs="Times New Roman" w:eastAsia="Times New Roman" w:hAnsi="Times New Roman"/>
          <w:sz w:val="16"/>
          <w:szCs w:val="16"/>
          <w:color w:val="auto"/>
        </w:rPr>
        <w:t>Centrus Energy Corp., a Delaware corporation (“Centrus,” the “Company”, “we” or “us”), is a trusted supplier of nuclear fuel components and services for the nuclear power industry, which provides a reliable source of carbon free energy. References to “Centrus”, the “Company”, “our”, or “we” include Centrus Energy Corp. and its wholly owned subsidiaries as well as the predecessor to Centrus, unless the context indicates otherwise.</w:t>
      </w:r>
    </w:p>
    <w:p>
      <w:pPr>
        <w:spacing w:after="0" w:line="169" w:lineRule="exact"/>
        <w:rPr>
          <w:sz w:val="20"/>
          <w:szCs w:val="20"/>
          <w:color w:val="auto"/>
        </w:rPr>
      </w:pPr>
    </w:p>
    <w:p>
      <w:pPr>
        <w:ind w:right="180" w:firstLine="191"/>
        <w:spacing w:after="0" w:line="307" w:lineRule="auto"/>
        <w:rPr>
          <w:sz w:val="20"/>
          <w:szCs w:val="20"/>
          <w:color w:val="auto"/>
        </w:rPr>
      </w:pPr>
      <w:r>
        <w:rPr>
          <w:rFonts w:ascii="Times New Roman" w:cs="Times New Roman" w:eastAsia="Times New Roman" w:hAnsi="Times New Roman"/>
          <w:sz w:val="14"/>
          <w:szCs w:val="14"/>
          <w:color w:val="auto"/>
        </w:rPr>
        <w:t>Centrus operates two business segments: (a) LEU, which supplies various components of nuclear fuel to commercial customers from our global network of suppliers, and (b) Technical Solutions, which provides advanced engineering, design, manufacturing, and services to government and private sector customers and is deploying uranium enrichment through HALEU production and other capabilities necessary for production of advanced nuclear fuel to power existing and next-generation reactors around the world.</w:t>
      </w:r>
    </w:p>
    <w:p>
      <w:pPr>
        <w:spacing w:after="0" w:line="136" w:lineRule="exact"/>
        <w:rPr>
          <w:sz w:val="20"/>
          <w:szCs w:val="20"/>
          <w:color w:val="auto"/>
        </w:rPr>
      </w:pPr>
    </w:p>
    <w:p>
      <w:pPr>
        <w:ind w:right="140" w:firstLine="191"/>
        <w:spacing w:after="0" w:line="252" w:lineRule="auto"/>
        <w:rPr>
          <w:sz w:val="20"/>
          <w:szCs w:val="20"/>
          <w:color w:val="auto"/>
        </w:rPr>
      </w:pPr>
      <w:r>
        <w:rPr>
          <w:rFonts w:ascii="Times New Roman" w:cs="Times New Roman" w:eastAsia="Times New Roman" w:hAnsi="Times New Roman"/>
          <w:sz w:val="16"/>
          <w:szCs w:val="16"/>
          <w:color w:val="auto"/>
        </w:rPr>
        <w:t>Our LEU segment currently provides most of the Company’s revenue and involves the sale of enriched uranium,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spacing w:after="0" w:line="161"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6"/>
          <w:szCs w:val="16"/>
          <w:color w:val="auto"/>
        </w:rPr>
        <w:t>LEU is a critical component in the production of nuclear fuel for reactors that produce electricity. We supply LEU and its components to both domestic and international utilities for use in nuclear reactors worldwide. We provide LEU from multiple sources, including our inventory, medium- and long-term supply contracts, and spot purchases. As a long-term supplier of LEU to our customers, our objective is to provide value through the reliability and diversity of our supply sources.</w:t>
      </w:r>
    </w:p>
    <w:p>
      <w:pPr>
        <w:spacing w:after="0" w:line="16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Published spot price indicators for SWU reached previous historic highs in April 2009 at $163 per SWU. In the years following the 2011 Fukushima accident in Japan, spot</w:t>
      </w:r>
    </w:p>
    <w:p>
      <w:pPr>
        <w:spacing w:after="0" w:line="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prices declined more than 75%, bottoming out in August 2018 at $34 per SWU. This was followed by a period of price increases, which reached $155 per SWU by December 31, 2023. As of September 30, 2024, spot prices were $180 per SWU, which surpasses the previous historic high. This represents an increase of 16% since the beginning of the year and 429% over the 2018 historic low. This surge in the SWU spot price beginning in 2022 has been driven primarily by uncertainty created as a result of the war in Ukraine, coupled with growing interest in nuclear power as a source of reliable carbon-free energy.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1" w:name="page32"/>
    <w:bookmarkEnd w:id="31"/>
    <w:p>
      <w:pPr>
        <w:ind w:right="100" w:firstLine="191"/>
        <w:spacing w:after="0" w:line="259" w:lineRule="auto"/>
        <w:rPr>
          <w:sz w:val="20"/>
          <w:szCs w:val="20"/>
          <w:color w:val="auto"/>
        </w:rPr>
      </w:pPr>
      <w:r>
        <w:rPr>
          <w:rFonts w:ascii="Times New Roman" w:cs="Times New Roman" w:eastAsia="Times New Roman" w:hAnsi="Times New Roman"/>
          <w:sz w:val="16"/>
          <w:szCs w:val="16"/>
          <w:color w:val="auto"/>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 A report issued by the International Atomic Energy Agency in 2023 reported that while U.S. utilities may have enough inventory to cover one reload of their reactors, “truly strategic physical stockpiles are almost non-existent.”</w:t>
      </w:r>
      <w:r>
        <w:rPr>
          <w:rFonts w:ascii="Times New Roman" w:cs="Times New Roman" w:eastAsia="Times New Roman" w:hAnsi="Times New Roman"/>
          <w:sz w:val="20"/>
          <w:szCs w:val="20"/>
          <w:color w:val="auto"/>
          <w:vertAlign w:val="superscript"/>
        </w:rPr>
        <w:t>1</w:t>
      </w:r>
    </w:p>
    <w:p>
      <w:pPr>
        <w:spacing w:after="0" w:line="90"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6"/>
          <w:szCs w:val="16"/>
          <w:color w:val="auto"/>
        </w:rPr>
        <w:t>Changes in the supply-demand balance and in the competitive landscape arising from the war in Ukraine may affect pricing trends, change customer spending patterns, and create additional uncertainty in the uranium market. At the same time, uncertainty remains about future demand for nuclear power generation. To address such changes and uncertainty, we continue to evaluate opportunities to grow our business organically or through acquisitions and other strategic transactions.</w:t>
      </w:r>
    </w:p>
    <w:p>
      <w:pPr>
        <w:spacing w:after="0" w:line="153" w:lineRule="exact"/>
        <w:rPr>
          <w:sz w:val="20"/>
          <w:szCs w:val="20"/>
          <w:color w:val="auto"/>
        </w:rPr>
      </w:pPr>
    </w:p>
    <w:p>
      <w:pPr>
        <w:ind w:right="100" w:firstLine="191"/>
        <w:spacing w:after="0" w:line="252" w:lineRule="auto"/>
        <w:rPr>
          <w:sz w:val="20"/>
          <w:szCs w:val="20"/>
          <w:color w:val="auto"/>
        </w:rPr>
      </w:pPr>
      <w:r>
        <w:rPr>
          <w:rFonts w:ascii="Times New Roman" w:cs="Times New Roman" w:eastAsia="Times New Roman" w:hAnsi="Times New Roman"/>
          <w:sz w:val="16"/>
          <w:szCs w:val="16"/>
          <w:color w:val="auto"/>
        </w:rPr>
        <w:t>Our Technical Solutions segment is committed to the restoration of America’s domestic uranium enrichment production capability in order to play a critical role in meeting U.S. national security and energy security requirements and advancing America’s nonproliferation, energy, and climate objectives. Our Technical Solutions segment is also focused on repairing broken and vulnerable supply chains, providing clean energy jobs, and supporting the communities in which we operate. Our goal is to deliver major components of the next-generation nuclear fuels that will provide reliable carbon-free power around the world.</w:t>
      </w:r>
    </w:p>
    <w:p>
      <w:pPr>
        <w:spacing w:after="0" w:line="172" w:lineRule="exact"/>
        <w:rPr>
          <w:sz w:val="20"/>
          <w:szCs w:val="20"/>
          <w:color w:val="auto"/>
        </w:rPr>
      </w:pPr>
    </w:p>
    <w:p>
      <w:pPr>
        <w:ind w:right="140" w:firstLine="191"/>
        <w:spacing w:after="0" w:line="247" w:lineRule="auto"/>
        <w:rPr>
          <w:sz w:val="20"/>
          <w:szCs w:val="20"/>
          <w:color w:val="auto"/>
        </w:rPr>
      </w:pPr>
      <w:r>
        <w:rPr>
          <w:rFonts w:ascii="Times New Roman" w:cs="Times New Roman" w:eastAsia="Times New Roman" w:hAnsi="Times New Roman"/>
          <w:sz w:val="16"/>
          <w:szCs w:val="16"/>
          <w:color w:val="auto"/>
        </w:rPr>
        <w:t>Under the HALEU Demonstration Contract, Centrus was engaged by the DOE to construct a cascade of 16 AC100M centrifuges in Piketon, Ohio to demonstrate HALEU production. The DOE has funded the contract up to $173.0 million with a period of performance that ended November 30, 2022. Closeout activities on the HALEU Demonstration Contract are ongoing. The DOE elected to change the scope of the HALEU Demonstration Contract and moved the operational portion of the contract to a new, competitively-awarded contract that would provide for operations beyond the term of the existing HALEU Demonstration Contract.</w:t>
      </w:r>
    </w:p>
    <w:p>
      <w:pPr>
        <w:spacing w:after="0" w:line="176" w:lineRule="exact"/>
        <w:rPr>
          <w:sz w:val="20"/>
          <w:szCs w:val="20"/>
          <w:color w:val="auto"/>
        </w:rPr>
      </w:pPr>
    </w:p>
    <w:p>
      <w:pPr>
        <w:ind w:right="20" w:firstLine="191"/>
        <w:spacing w:after="0" w:line="237" w:lineRule="auto"/>
        <w:rPr>
          <w:sz w:val="20"/>
          <w:szCs w:val="20"/>
          <w:color w:val="auto"/>
        </w:rPr>
      </w:pPr>
      <w:r>
        <w:rPr>
          <w:rFonts w:ascii="Times New Roman" w:cs="Times New Roman" w:eastAsia="Times New Roman" w:hAnsi="Times New Roman"/>
          <w:sz w:val="16"/>
          <w:szCs w:val="16"/>
          <w:color w:val="auto"/>
        </w:rPr>
        <w:t>On November 10, 2022, the DOE notified Centrus that the Company had been awarded the HALEU Operation Contract and work began on December 1, 2022. The base contract value is approximately $150 million with two phases through 2024. Phase 1 included an approximately $30 million cost-share contribution from Centrus matched by approximately $30 million from the DOE to complete construction of the cascade, begin operations and produce the initial 20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by no later than December 31, 2023. On October 11, 2023, the Company announced that it began enrichment operations in Piketon, Ohio. On November 7, 2023, the Company announced that it made its first delivery of HALEU to the DOE, completing Phase 1 by successfully demonstrating its HALEU production process. During November 2023, the Company transitioned to Phase 2 of the HALEU Operation Contract.</w:t>
      </w:r>
    </w:p>
    <w:p>
      <w:pPr>
        <w:spacing w:after="0" w:line="123" w:lineRule="exact"/>
        <w:rPr>
          <w:sz w:val="20"/>
          <w:szCs w:val="20"/>
          <w:color w:val="auto"/>
        </w:rPr>
      </w:pPr>
    </w:p>
    <w:p>
      <w:pPr>
        <w:jc w:val="both"/>
        <w:ind w:right="80" w:firstLine="191"/>
        <w:spacing w:after="0" w:line="251" w:lineRule="auto"/>
        <w:rPr>
          <w:sz w:val="20"/>
          <w:szCs w:val="20"/>
          <w:color w:val="auto"/>
        </w:rPr>
      </w:pPr>
      <w:r>
        <w:rPr>
          <w:rFonts w:ascii="Times New Roman" w:cs="Times New Roman" w:eastAsia="Times New Roman" w:hAnsi="Times New Roman"/>
          <w:sz w:val="16"/>
          <w:szCs w:val="16"/>
          <w:color w:val="auto"/>
        </w:rPr>
        <w:t>Phase 2 of the HALEU Operation Contract includes production of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per year as well as continued operations and maintenance. The DOE owns the HALEU produced from the demonstration cascade, and Centrus is being compensated on a cost-plus-incentive-fee basis, with an expected Phase 2 contract value of approximately $90 million, subject to Congressional appropriations. The HALEU Operation Contract also gives DOE options to pay for up to nine additional years of production from the cascade beyond the base contract; those options are at the DOE’s sole discretion and subject to the availability of Congressional appropriations. Concurrently, pursuant to an amendment to our lease for the Piketon facility, the DOE assumed all D&amp;D liabilities arising out of the HALEU Operation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134747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379" w:lineRule="exact"/>
        <w:rPr>
          <w:sz w:val="20"/>
          <w:szCs w:val="20"/>
          <w:color w:val="auto"/>
        </w:rPr>
      </w:pPr>
    </w:p>
    <w:p>
      <w:pPr>
        <w:ind w:left="5580" w:right="3800" w:hanging="5575"/>
        <w:spacing w:after="0" w:line="914" w:lineRule="auto"/>
        <w:tabs>
          <w:tab w:leader="none" w:pos="93"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International Atomic Energy Agency, “Global Inventories of Secondary Uranium Supplies” (IAEA-TECDOC-2030), p. 54 (2023).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-326390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2" w:name="page33"/>
    <w:bookmarkEnd w:id="32"/>
    <w:p>
      <w:pPr>
        <w:ind w:firstLine="191"/>
        <w:spacing w:after="0" w:line="235" w:lineRule="auto"/>
        <w:rPr>
          <w:sz w:val="20"/>
          <w:szCs w:val="20"/>
          <w:color w:val="auto"/>
        </w:rPr>
      </w:pPr>
      <w:r>
        <w:rPr>
          <w:rFonts w:ascii="Times New Roman" w:cs="Times New Roman" w:eastAsia="Times New Roman" w:hAnsi="Times New Roman"/>
          <w:sz w:val="16"/>
          <w:szCs w:val="16"/>
          <w:color w:val="auto"/>
        </w:rPr>
        <w:t>Under the HALEU Operation Contract, DOE is contractually obligated to provide the 5B Cylinders necessary to collect the output of the cascade, but ongoing supply chain challenges have created difficulties for the DOE in timely securing enough 5B Cylinders for the entire production year. To support the DOE in mitigating the risk of further delays in delivery of 5B Cylinders, the Company received technical direction and a contract modification from the DOE to procure compliant 5B Cylinders and components. The contractual obligation to furnish compliant 5B Cylinders under the HALEU Operation Contract continues to rest with the DOE. During periods where quantities of 5B Cylinders are insufficient, the Company will not be able to produce HALEU but will be able to continue operations of the cascade and perform preventive maintenance and regulatory compliance-type activities. Centrus anticipates that the delays in obtaining sufficient 5B Cylinders will be temporary but no longer expects to achieve delivery of the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anticipated for Phase 2 of the contract, which extends to November 2024. Although inadequate for meeting the full delivery quantity target, the DOE has been successful in locating a small number of 5B Cylinders. Using the 5B Cylinders currently made available by the DOE, Centrus has now achieved cumulative deliveries to the DOE of approximately 332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We anticipate additional 5B Cylinders will be available during the fourth quarter, which will allow the Company to continue producing HALEU. The target fee for Phase 2 of the contract was estimated to be $7.5 million based on the estimated costs for the contract and is subject to a contract minimum fee of $6.9 million. In accordance with the HALEU Operation Contract, the Company has submitted several change requests for work being performed on infrastructure, facility repairs, and 5B Cylinders. The additional work is being performed under the DOE’s technical direction.</w:t>
      </w:r>
    </w:p>
    <w:p>
      <w:pPr>
        <w:spacing w:after="0" w:line="178"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The DOE continues to pursue the availability of HALEU for the ARDP and for the advanced reactor market in general. The DOE issued RFPs for deconversion of HALEU into different forms needed to fabricate fuels used by various advanced reactor developers and the production of HALEU on November 28, 2023 and January 9, 2024, respectively. On June 27, 2024, the DOE issued an RFP focusing on the domestic production of LEU to ensure the availability of domestically enriched uranium in a quantity that would be sufficient to address a supply disruption and gaps in domestic production and enrichment. The Company submitted proposals in response to each of these RFPs, with the goal of expanding production capability at the Piketon facility, subject to availability of funding and/or off-take commitments. The DOE plans to award multiple indefinite delivery-indefinite quantity contracts to the successful bidders, after which the awardees will compete for individual task orders. The total to be awarded under the RFPs is $3.4 billion with a minimum of $2.0 million for each award, subject to further appropriations.</w:t>
      </w:r>
    </w:p>
    <w:p>
      <w:pPr>
        <w:spacing w:after="0" w:line="165" w:lineRule="exact"/>
        <w:rPr>
          <w:sz w:val="20"/>
          <w:szCs w:val="20"/>
          <w:color w:val="auto"/>
        </w:rPr>
      </w:pPr>
    </w:p>
    <w:p>
      <w:pPr>
        <w:ind w:right="100" w:firstLine="191"/>
        <w:spacing w:after="0" w:line="248" w:lineRule="auto"/>
        <w:rPr>
          <w:sz w:val="20"/>
          <w:szCs w:val="20"/>
          <w:color w:val="auto"/>
        </w:rPr>
      </w:pPr>
      <w:r>
        <w:rPr>
          <w:rFonts w:ascii="Times New Roman" w:cs="Times New Roman" w:eastAsia="Times New Roman" w:hAnsi="Times New Roman"/>
          <w:sz w:val="16"/>
          <w:szCs w:val="16"/>
          <w:color w:val="auto"/>
        </w:rPr>
        <w:t>On October 16, 2024, DOE selected ACO and three other awardees under a competitive solicitation aimed at expanding domestic commercial production of HALEU which is needed to fuel many of the next-generation nuclear reactor design currently under development. The contract has a minimum value of $2.0 million and a maximum value of $2.7 billion for all awardees. On October 4, 2024, DOE selected ACO and five other awardees under a separate solicitation aimed at HALEU deconversion, a subsequent step in the HALEU production process. The contract has a minimum value of $2.0 million and a maximum value of $0.8 billion for all awardees The ultimate dollar amount under each contract and the potential scale of the expansion supported will depend upon the scope of task orders that DOE may subsequently issue under the contracts for which we will compete. Although we believe that we are well positioned, there is no assurance that we will be awarded any task orders or any contracts under any of our outstanding RFPs and, if awarded, the nature, timing and amount of the task orders that may be issued under an award is uncertain.</w:t>
      </w:r>
    </w:p>
    <w:p>
      <w:pPr>
        <w:spacing w:after="0" w:line="165" w:lineRule="exact"/>
        <w:rPr>
          <w:sz w:val="20"/>
          <w:szCs w:val="20"/>
          <w:color w:val="auto"/>
        </w:rPr>
      </w:pPr>
    </w:p>
    <w:p>
      <w:pPr>
        <w:ind w:right="20" w:firstLine="191"/>
        <w:spacing w:after="0" w:line="290" w:lineRule="auto"/>
        <w:rPr>
          <w:sz w:val="20"/>
          <w:szCs w:val="20"/>
          <w:color w:val="auto"/>
        </w:rPr>
      </w:pPr>
      <w:r>
        <w:rPr>
          <w:rFonts w:ascii="Times New Roman" w:cs="Times New Roman" w:eastAsia="Times New Roman" w:hAnsi="Times New Roman"/>
          <w:sz w:val="14"/>
          <w:szCs w:val="14"/>
          <w:color w:val="auto"/>
        </w:rPr>
        <w:t>The war in Ukraine, along with the recently enacted Import Ban Act, which had been contemplated by Congress for more than a year, has contributed to a significant increase in market prices for enrichment and prompted calls for public and private investment in new, domestic uranium enrichment capacity not only for HALEU production, but also for LEU production to support the existing fleet of reactors. As a result, coupled with the Company’s award for HALEU production and competing for an award under the June 27, 2024 RFP for LEU production, Centrus is exploring the opportunity to deploy LEU enrichment alongside HALEU enrichment to meet a range of commercial and U.S. government requirements, which would bring cost synergies while increasing revenue opportunities. Our ability to deploy LEU and/or HALEU enrichment, and the timing, sequencing, and scale of those capabilities, is subject to the availability of funding (through DOE awards, outstanding DOE RFP and other sources) and off-take commitments.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3" w:name="page34"/>
    <w:bookmarkEnd w:id="33"/>
    <w:p>
      <w:pPr>
        <w:ind w:right="80" w:firstLine="191"/>
        <w:spacing w:after="0" w:line="285" w:lineRule="auto"/>
        <w:rPr>
          <w:sz w:val="20"/>
          <w:szCs w:val="20"/>
          <w:color w:val="auto"/>
        </w:rPr>
      </w:pPr>
      <w:r>
        <w:rPr>
          <w:rFonts w:ascii="Times New Roman" w:cs="Times New Roman" w:eastAsia="Times New Roman" w:hAnsi="Times New Roman"/>
          <w:sz w:val="14"/>
          <w:szCs w:val="14"/>
          <w:color w:val="auto"/>
        </w:rPr>
        <w:t>The Energy Act of 2020 (“The Energy Act”) required the DOE to establish a program to support the availability of HALEU for civilian domestic research, development, demonstration, and commercial use. The Energy Act also reauthorized DOE nuclear energy research, development, demonstration, and commercial application activities, including advanced fuel, research and development for advanced reactors, used fuel technologies, and integration of nuclear energy systems for both existing plants and advanced nuclear concepts. It also authorized the funding of an ARDP which was launched by the DOE in May 2020. There are a number of advanced reactors under development that would use HALEU. Nine of the ten advanced reactor designs initially selected by the DOE for its ARDP will require HALEU. Various agencies of the U.S. government, including the U.S. Department of Defense, the Defense Advanced Research Projects Agency, and the DOE are building small modular reactors and microreactors, which demonstrates the focus on both the development of microreactors and HALEU. We believe our investments in advanced enrichment technology and our progress in demonstrating HALEU production will position the Company to meet the needs of government and commercial customers in the future as they deploy advanced reactors and next generation fuels and also offers potential cost synergies for a return to LEU production. Further, the Company is taking steps to pursue, including through the exploration of strategic partnerships, technologies that are complementary to HALEU production and critical to the HALEU ecosystem, including deconversion and fuel fabrication.</w:t>
      </w:r>
    </w:p>
    <w:p>
      <w:pPr>
        <w:spacing w:after="0" w:line="338" w:lineRule="exact"/>
        <w:rPr>
          <w:sz w:val="20"/>
          <w:szCs w:val="20"/>
          <w:color w:val="auto"/>
        </w:rPr>
      </w:pPr>
    </w:p>
    <w:p>
      <w:pPr>
        <w:ind w:firstLine="191"/>
        <w:spacing w:after="0" w:line="260" w:lineRule="auto"/>
        <w:rPr>
          <w:sz w:val="20"/>
          <w:szCs w:val="20"/>
          <w:color w:val="auto"/>
        </w:rPr>
      </w:pPr>
      <w:r>
        <w:rPr>
          <w:rFonts w:ascii="Times New Roman" w:cs="Times New Roman" w:eastAsia="Times New Roman" w:hAnsi="Times New Roman"/>
          <w:sz w:val="16"/>
          <w:szCs w:val="16"/>
          <w:color w:val="auto"/>
        </w:rPr>
        <w:t>While the monthly price indicators have increased for several years, the uranium enrichment segment of the nuclear fuel market remains oversupplied and faces uncertainty about future demand for nuclear power generation. However, without Russian supply, the global market would be undersupplied for uranium enrichment. Recent data from the International Trade Commission shows a significant increase in the importation of enriched uranium into the U.S. from China in 2023 and 2024. If this trend continues, it will likely have significant changes in the competitive landscape that will affect pricing trends and customer spending patterns and create uncertainty and likely have a negative impact on our business. To address these changes, we have taken steps to adjust our cost structure; we may seek further adjustments to our cost structure and operations and evaluate opportunities to grow our business organically or through acquisitions and other strategic transactions.</w:t>
      </w:r>
    </w:p>
    <w:p>
      <w:pPr>
        <w:spacing w:after="0" w:line="162" w:lineRule="exact"/>
        <w:rPr>
          <w:sz w:val="20"/>
          <w:szCs w:val="20"/>
          <w:color w:val="auto"/>
        </w:rPr>
      </w:pPr>
    </w:p>
    <w:p>
      <w:pPr>
        <w:ind w:right="40" w:firstLine="191"/>
        <w:spacing w:after="0" w:line="254" w:lineRule="auto"/>
        <w:rPr>
          <w:sz w:val="20"/>
          <w:szCs w:val="20"/>
          <w:color w:val="auto"/>
        </w:rPr>
      </w:pPr>
      <w:r>
        <w:rPr>
          <w:rFonts w:ascii="Times New Roman" w:cs="Times New Roman" w:eastAsia="Times New Roman" w:hAnsi="Times New Roman"/>
          <w:sz w:val="16"/>
          <w:szCs w:val="16"/>
          <w:color w:val="auto"/>
        </w:rPr>
        <w:t xml:space="preserve">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 For further discussion, refer to </w:t>
      </w:r>
      <w:r>
        <w:rPr>
          <w:rFonts w:ascii="Times New Roman" w:cs="Times New Roman" w:eastAsia="Times New Roman" w:hAnsi="Times New Roman"/>
          <w:sz w:val="16"/>
          <w:szCs w:val="16"/>
          <w:i w:val="1"/>
          <w:iCs w:val="1"/>
          <w:color w:val="auto"/>
        </w:rPr>
        <w:t>Liquidity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and Capital Resources </w:t>
      </w:r>
      <w:r>
        <w:rPr>
          <w:rFonts w:ascii="Times New Roman" w:cs="Times New Roman" w:eastAsia="Times New Roman" w:hAnsi="Times New Roman"/>
          <w:sz w:val="16"/>
          <w:szCs w:val="16"/>
          <w:color w:val="auto"/>
        </w:rPr>
        <w:t>in this Quarterly Report on Form 10-Q.</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Conditions and Outlook</w:t>
      </w:r>
    </w:p>
    <w:p>
      <w:pPr>
        <w:spacing w:after="0" w:line="200" w:lineRule="exact"/>
        <w:rPr>
          <w:sz w:val="20"/>
          <w:szCs w:val="20"/>
          <w:color w:val="auto"/>
        </w:rPr>
      </w:pPr>
    </w:p>
    <w:p>
      <w:pPr>
        <w:ind w:right="100" w:firstLine="191"/>
        <w:spacing w:after="0" w:line="254" w:lineRule="auto"/>
        <w:rPr>
          <w:sz w:val="20"/>
          <w:szCs w:val="20"/>
          <w:color w:val="auto"/>
        </w:rPr>
      </w:pPr>
      <w:r>
        <w:rPr>
          <w:rFonts w:ascii="Times New Roman" w:cs="Times New Roman" w:eastAsia="Times New Roman" w:hAnsi="Times New Roman"/>
          <w:sz w:val="16"/>
          <w:szCs w:val="16"/>
          <w:color w:val="auto"/>
        </w:rPr>
        <w:t>The global nuclear industry outlook has improved after many years of decline or stagnation. The development of advanced small and large-scale reactors, the innovation of advanced fuel types, and the commitment of nations to begin deploying nuclear power or to increase the share of nuclear power in their nations has created optimism in the market. Part of the momentum has resulted from efforts to lower greenhouse gas emissions to combat climate change and improve health and safety.</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According to the WNA, as of September 2024, there were 67 reactors under construction worldwide, approximately one-half of which are in China. The United States, with over</w:t>
      </w:r>
    </w:p>
    <w:p>
      <w:pPr>
        <w:spacing w:after="0" w:line="37"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4"/>
          <w:szCs w:val="14"/>
          <w:color w:val="auto"/>
        </w:rPr>
        <w:t>90 operating reactors, remains the world’s largest market for nuclear fuel. The nuclear industry in the United States, Japan, and Europe faces headwinds as well as opportunities. In the United States, the industry has been under pressure from the expansion of subsidized renewable energy as well as relatively low-cost natural gas resources in recent years, although natural gas prices in the U.S. electricity sector tripled between 2020 and 2022 according to data from the U.S. Energy Information Administration (“EIA”). Nine U.S. reactors have prematurely shut down in the past ten years, and others could shut down in the next few years. At the same time, construction was completed and commercial operations began in the second quarter of 2024 on one large reactor and one formerly shutdown reactor has plans to restart. The DOE recently released a report outlining a pathway to deployment of approximately 200 gigawatts of additional capacity by 2050, which would triple the nuclear energy capacity in the United States.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34" w:name="page35"/>
    <w:bookmarkEnd w:id="34"/>
    <w:p>
      <w:pPr>
        <w:ind w:right="120" w:firstLine="191"/>
        <w:spacing w:after="0" w:line="255" w:lineRule="auto"/>
        <w:rPr>
          <w:sz w:val="20"/>
          <w:szCs w:val="20"/>
          <w:color w:val="auto"/>
        </w:rPr>
      </w:pPr>
      <w:r>
        <w:rPr>
          <w:rFonts w:ascii="Times New Roman" w:cs="Times New Roman" w:eastAsia="Times New Roman" w:hAnsi="Times New Roman"/>
          <w:sz w:val="16"/>
          <w:szCs w:val="16"/>
          <w:color w:val="auto"/>
        </w:rPr>
        <w:t xml:space="preserve">The IEA projects that global nuclear energy generation will grow substantially in the next three decades. In the IEA’s </w:t>
      </w:r>
      <w:r>
        <w:rPr>
          <w:rFonts w:ascii="Times New Roman" w:cs="Times New Roman" w:eastAsia="Times New Roman" w:hAnsi="Times New Roman"/>
          <w:sz w:val="16"/>
          <w:szCs w:val="16"/>
          <w:i w:val="1"/>
          <w:iCs w:val="1"/>
          <w:color w:val="auto"/>
        </w:rPr>
        <w:t>2024 World Energy Outlook</w:t>
      </w:r>
      <w:r>
        <w:rPr>
          <w:rFonts w:ascii="Times New Roman" w:cs="Times New Roman" w:eastAsia="Times New Roman" w:hAnsi="Times New Roman"/>
          <w:sz w:val="16"/>
          <w:szCs w:val="16"/>
          <w:color w:val="auto"/>
        </w:rPr>
        <w:t>, nuclear generation is forecasted to grow by 18% by 2030 and 47% by 2040 under the “Stated Policies” scenario. In the “Net Zero Emissions by 2050” scenario, nuclear generation would grow by 41% by 2030 and more than double by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240030</wp:posOffset>
            </wp:positionV>
            <wp:extent cx="3880485" cy="3099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80485" cy="309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firstLine="191"/>
        <w:spacing w:after="0" w:line="252" w:lineRule="auto"/>
        <w:rPr>
          <w:sz w:val="20"/>
          <w:szCs w:val="20"/>
          <w:color w:val="auto"/>
        </w:rPr>
      </w:pPr>
      <w:r>
        <w:rPr>
          <w:rFonts w:ascii="Times New Roman" w:cs="Times New Roman" w:eastAsia="Times New Roman" w:hAnsi="Times New Roman"/>
          <w:sz w:val="16"/>
          <w:szCs w:val="16"/>
          <w:color w:val="auto"/>
        </w:rPr>
        <w:t>As a consequence of the March 2011 earthquake and tsunami in Japan, over 60 reactors in Japan and Germany were taken offline, and other countries curtailed or slowed their construction of new reactors or accelerated the retirement of existing plants. In Japan, 12 reactors have restarted and an additional 13 reactors are in the process of restart approval. Due to the war in Ukraine, the EU is encouraging its member countries to reconsider the planned early retirement of existing plants in order to reduce reliance on Russian gas imports.</w:t>
      </w:r>
    </w:p>
    <w:p>
      <w:pPr>
        <w:spacing w:after="0" w:line="172"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In October 2020, the DOC reached an agreement with the Russian Federation on an extension of the RSA, a trade agreement that allows for Russian-origin nuclear fuel to be exported to the United States in limited quantities. The two parties agreed to extend the agreement through 2040 and to set aside a significant portion of the quota for Centrus’ shipments to the United States through 2028 to perform under our TENEX Supply Contract. This outcome allowed for sufficient quota for Centrus to continue serving its utility customers and support its investments in building new capacity. Use of this quota is subject to compliance with limitations under the RSA. These limitations include a requirement that we return natural uranium to TENEX for the LEU we receive under the TENEX Supply Contract at approximately the same time that we deliver the LEU to our customers. Our ability to meet this requirement depends on the capacity or willingness of the facilities, where natural uranium is supplied to us by customers, to allow us to deliver this natural uranium to TENEX. We were notified by one facility that it will no longer receive natural uranium for TENEX. As a result, we will need to rely to a greater extent on deliveries at other processors or explore other options in order to comply with the RSA’s natural uranium delivery requirement.</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35" w:name="page36"/>
    <w:bookmarkEnd w:id="35"/>
    <w:p>
      <w:pPr>
        <w:ind w:firstLine="191"/>
        <w:spacing w:after="0" w:line="252" w:lineRule="auto"/>
        <w:rPr>
          <w:sz w:val="20"/>
          <w:szCs w:val="20"/>
          <w:color w:val="auto"/>
        </w:rPr>
      </w:pPr>
      <w:r>
        <w:rPr>
          <w:rFonts w:ascii="Times New Roman" w:cs="Times New Roman" w:eastAsia="Times New Roman" w:hAnsi="Times New Roman"/>
          <w:sz w:val="15"/>
          <w:szCs w:val="15"/>
          <w:color w:val="auto"/>
        </w:rPr>
        <w:t>On July 13, 2023, the Company and TerraPower, LLC (“TerraPower”) entered into a memorandum of understanding (“MOU”) to expand their collaboration aimed at establishing commercial-scale, domestic production capabilities for HALEU to fuel the Natrium</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5"/>
          <w:szCs w:val="15"/>
          <w:color w:val="auto"/>
        </w:rPr>
        <w:t xml:space="preserve"> reactor that TerraPower is building in Wyoming. Under this MOU, the Company and TerraPower will collaborate to ensure the Natrium demonstration reactor will have sufficient HALEU at the milestones necessary to meet the project's 2030 operation date. Subject to a definitive agreement to be negotiated, Centrus will work toward scaling up production capacity with additional centrifuge cascades to meet TerraPower's fuel requirements.</w:t>
      </w:r>
    </w:p>
    <w:p>
      <w:pPr>
        <w:spacing w:after="0" w:line="161" w:lineRule="exact"/>
        <w:rPr>
          <w:sz w:val="20"/>
          <w:szCs w:val="20"/>
          <w:color w:val="auto"/>
        </w:rPr>
      </w:pPr>
    </w:p>
    <w:p>
      <w:pPr>
        <w:ind w:right="20" w:firstLine="191"/>
        <w:spacing w:after="0" w:line="252" w:lineRule="auto"/>
        <w:rPr>
          <w:sz w:val="20"/>
          <w:szCs w:val="20"/>
          <w:color w:val="auto"/>
        </w:rPr>
      </w:pPr>
      <w:r>
        <w:rPr>
          <w:rFonts w:ascii="Times New Roman" w:cs="Times New Roman" w:eastAsia="Times New Roman" w:hAnsi="Times New Roman"/>
          <w:sz w:val="16"/>
          <w:szCs w:val="16"/>
          <w:color w:val="auto"/>
        </w:rPr>
        <w:t>On August 28, 2023, the Company and Oklo Inc. (“Oklo”) announced a new MOU to support the deployment of Oklo’s advanced fission powerhouses and advanced nuclear fuel production in Southern Ohio subject to a definitive agreement to be negotiated. Oklo and Centrus plan to enter into a broad range of collaboration programs supporting the development and operation of Oklo’s Aurora powerhouses, including supply of HALEU produced by Centrus at the Piketon, Ohio facility. Centrus also intends to buy clean, reliable, and affordable energy from Oklo’s planned Ohio plants to power its HALEU production facility.</w:t>
      </w:r>
    </w:p>
    <w:p>
      <w:pPr>
        <w:spacing w:after="0" w:line="172" w:lineRule="exact"/>
        <w:rPr>
          <w:sz w:val="20"/>
          <w:szCs w:val="20"/>
          <w:color w:val="auto"/>
        </w:rPr>
      </w:pPr>
    </w:p>
    <w:p>
      <w:pPr>
        <w:ind w:firstLine="191"/>
        <w:spacing w:after="0" w:line="282" w:lineRule="auto"/>
        <w:rPr>
          <w:sz w:val="20"/>
          <w:szCs w:val="20"/>
          <w:color w:val="auto"/>
        </w:rPr>
      </w:pPr>
      <w:r>
        <w:rPr>
          <w:rFonts w:ascii="Times New Roman" w:cs="Times New Roman" w:eastAsia="Times New Roman" w:hAnsi="Times New Roman"/>
          <w:sz w:val="14"/>
          <w:szCs w:val="14"/>
          <w:color w:val="auto"/>
        </w:rPr>
        <w:t>The war in Ukraine has escalated tensions between Russia and the international community. As a result, the United States and other countries have imposed, including through the U.S.’s enactment of the Import Ban Act discussed below, and may continue imposing, additional sanctions and export controls against certain Russian products, services, organizations, and/or individuals. Such additional restrictions could affect our ability to purchase, take delivery of, transport, or re-sell Russian uranium enrichment, engage in transactions with TENEX, or implement the TENEX Supply Contract, which would have a negative material impact on our business. Further, sanctions by the United States, Russia or other countries may impact our ability and cost to transport, export, import, take delivery, or make payments related to the LEU we purchase and may require us to increase purchases from non-Russian sources to the extent available. For example, due to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sanctions remain in place, the shipper will require further extensions beyond the current validity of the permit for continued shipments of LEU imports. In addition, on June 24, 2024, members of the EU agreed to issue a 14th sanctions package, primarily targeting the export of Russian liquid natural gas and other services. The sanctions package includes restrictions on the transportation of empty containers to Russia. Since we supply empty cylinders under the TENEX Supply Contract that are filled and returned to us, this new sanctions package may impact the transportation of LEU from Russia to the extent such export activity has a nexus to an EU member state (e.g., through a ship’s flag, nationalities of crew members, etc.). This new sanctions package does not impact our near term deliveries. We are working with our shipper to determine the extent of the impact of the new sanctions on the transportation of LEU from Russia which may ultimately require our shipper to obtain special authorizations for the shipment of empty containers to Russia if a nexus with an EU member state exists. The U.S. and Canadian governments have indicated that the EU agrees that this round of sanctions should not capture these containers and are working with the EU to clarify.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36" w:name="page37"/>
    <w:bookmarkEnd w:id="36"/>
    <w:p>
      <w:pPr>
        <w:ind w:right="40" w:firstLine="191"/>
        <w:spacing w:after="0" w:line="285" w:lineRule="auto"/>
        <w:rPr>
          <w:sz w:val="20"/>
          <w:szCs w:val="20"/>
          <w:color w:val="auto"/>
        </w:rPr>
      </w:pPr>
      <w:r>
        <w:rPr>
          <w:rFonts w:ascii="Times New Roman" w:cs="Times New Roman" w:eastAsia="Times New Roman" w:hAnsi="Times New Roman"/>
          <w:sz w:val="14"/>
          <w:szCs w:val="14"/>
          <w:color w:val="auto"/>
        </w:rPr>
        <w:t>In response to the war in Ukraine, there were proposals to ban imports of uranium products that could cut off or reduce our ability to import LEU in one or more years under the TENEX Supply Contract. In fact, on May 13, 2024, the Import Ban Act was enacted. This new law bans imports of LEU from Russia into the U.S. beginning August 11, 2024, subject to issuance of waivers by the DOE. In accordance with the instructions published by the DOE on May 24, 2024, the Company filed its first waiver request application on May 27, 2024, to permit the importation of LEU already committed for delivery to its U.S. customers in 2024 through 2027. On July 18, 2024, the DOE issued the Company a waiver allowing it to import LEU from Russia for deliveries already committed by the Company to its U.S. customers in years 2024 and 2025. For the years 2026 and 2027, the DOE deferred its decision to an unspecified date closer in time to the deliveries. On June 7, 2024, the Company filed a second waiver request application to allow for importation of LEU from Russia for processing and reexport to the Company's foreign customers and is awaiting DOE's determination. The Company plans to file a third waiver request application to allow for importation of LEU from Russia in 2026 and 2027 for use in the U.S. that have yet to be committed to our customers. The U.S. ban on imports of Russian LEU, without the grant of additional timely waivers, would have a negative material impact on our business. Through 2027, well over one-half of the LEU that we expect to deliver to customers was sourced under the TENEX Supply Contract. While we have other sources of supply, they are not sufficient to replace the TENEX supply. It is uncertain whether any waiver would be granted in response to our pending or any potential future applications and, if granted, whether any waiver would be granted in a timely manner.</w:t>
      </w:r>
    </w:p>
    <w:p>
      <w:pPr>
        <w:spacing w:after="0" w:line="338"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In addition, there is draft legislation in the U.S. Congress designed to impose sanctions on Rosatom which would prohibit (again, subject to government-issued waivers) transactions with TENEX, a subsidiary of Rosatom. Since the enactment of the Import Ban Act, TENEX has continued to implement the TENEX Supply Contract while we pursue waivers from the DOE. However, we do not know what future actions TENEX might take in response to the new law. If TENEX refuses to make future deliveries or otherwise suspends deliveries for an extended period under the TENEX Supply Contract, our delivery obligations to our customers would be negatively impacted, including a material adverse effect on the Company.</w:t>
      </w:r>
    </w:p>
    <w:p>
      <w:pPr>
        <w:spacing w:after="0" w:line="174" w:lineRule="exact"/>
        <w:rPr>
          <w:sz w:val="20"/>
          <w:szCs w:val="20"/>
          <w:color w:val="auto"/>
        </w:rPr>
      </w:pPr>
    </w:p>
    <w:p>
      <w:pPr>
        <w:ind w:right="140" w:firstLine="191"/>
        <w:spacing w:after="0" w:line="247" w:lineRule="auto"/>
        <w:rPr>
          <w:sz w:val="20"/>
          <w:szCs w:val="20"/>
          <w:color w:val="auto"/>
        </w:rPr>
      </w:pPr>
      <w:r>
        <w:rPr>
          <w:rFonts w:ascii="Times New Roman" w:cs="Times New Roman" w:eastAsia="Times New Roman" w:hAnsi="Times New Roman"/>
          <w:sz w:val="16"/>
          <w:szCs w:val="16"/>
          <w:color w:val="auto"/>
        </w:rPr>
        <w:t>In addition to limitations targeted specifically at imports of LEU, the expanding sanctions imposed by the United States and foreign governments on the mechanisms used to make payments to Russia and to obtain services, including transportation and other services, have increased the risk that implementation of the TENEX Supply Contract may be disrupted in the future.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w:t>
      </w:r>
    </w:p>
    <w:p>
      <w:pPr>
        <w:spacing w:after="0" w:line="176" w:lineRule="exact"/>
        <w:rPr>
          <w:sz w:val="20"/>
          <w:szCs w:val="20"/>
          <w:color w:val="auto"/>
        </w:rPr>
      </w:pPr>
    </w:p>
    <w:p>
      <w:pPr>
        <w:ind w:right="220" w:firstLine="191"/>
        <w:spacing w:after="0" w:line="259" w:lineRule="auto"/>
        <w:rPr>
          <w:sz w:val="20"/>
          <w:szCs w:val="20"/>
          <w:color w:val="auto"/>
        </w:rPr>
      </w:pPr>
      <w:r>
        <w:rPr>
          <w:rFonts w:ascii="Times New Roman" w:cs="Times New Roman" w:eastAsia="Times New Roman" w:hAnsi="Times New Roman"/>
          <w:sz w:val="16"/>
          <w:szCs w:val="16"/>
          <w:color w:val="auto"/>
        </w:rPr>
        <w:t>Given all the foregoing, we continue to monitor the situation closely in order to address the potential impact of any new sanctions or restrictions on the Company and possible mitigation thereof.</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For further discussion of these risks and uncertainties,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our Annual Report on Form 10-K for the 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Results</w:t>
      </w:r>
    </w:p>
    <w:p>
      <w:pPr>
        <w:spacing w:after="0" w:line="189" w:lineRule="exact"/>
        <w:rPr>
          <w:sz w:val="20"/>
          <w:szCs w:val="20"/>
          <w:color w:val="auto"/>
        </w:rPr>
      </w:pPr>
    </w:p>
    <w:p>
      <w:pPr>
        <w:ind w:right="280" w:firstLine="191"/>
        <w:spacing w:after="0" w:line="273" w:lineRule="auto"/>
        <w:rPr>
          <w:sz w:val="20"/>
          <w:szCs w:val="20"/>
          <w:color w:val="auto"/>
        </w:rPr>
      </w:pPr>
      <w:r>
        <w:rPr>
          <w:rFonts w:ascii="Times New Roman" w:cs="Times New Roman" w:eastAsia="Times New Roman" w:hAnsi="Times New Roman"/>
          <w:sz w:val="16"/>
          <w:szCs w:val="16"/>
          <w:color w:val="auto"/>
        </w:rPr>
        <w:t>Our revenue, operating results, and cash flows can fluctuate significantly from quarter to quarter and year to year. Our LEU segment backlog consists primarily of long-term, fixed commitment contracts and contingent sales commitments, and we have visibility on a significant portion of our revenue for 2024-2027.</w:t>
      </w:r>
    </w:p>
    <w:p>
      <w:pPr>
        <w:spacing w:after="0" w:line="144" w:lineRule="exact"/>
        <w:rPr>
          <w:sz w:val="20"/>
          <w:szCs w:val="20"/>
          <w:color w:val="auto"/>
        </w:rPr>
      </w:pPr>
    </w:p>
    <w:p>
      <w:pPr>
        <w:ind w:right="140" w:firstLine="191"/>
        <w:spacing w:after="0" w:line="301" w:lineRule="auto"/>
        <w:rPr>
          <w:sz w:val="20"/>
          <w:szCs w:val="20"/>
          <w:color w:val="auto"/>
        </w:rPr>
      </w:pPr>
      <w:r>
        <w:rPr>
          <w:rFonts w:ascii="Times New Roman" w:cs="Times New Roman" w:eastAsia="Times New Roman" w:hAnsi="Times New Roman"/>
          <w:sz w:val="16"/>
          <w:szCs w:val="16"/>
          <w:color w:val="auto"/>
        </w:rPr>
        <w:t xml:space="preserve">Given the current uncertainty and disruption in the market, due to, among other things, the war in Ukraine, we are no longer providing guidance on our results of operations for 2024. Please see </w:t>
      </w:r>
      <w:r>
        <w:rPr>
          <w:rFonts w:ascii="Times New Roman" w:cs="Times New Roman" w:eastAsia="Times New Roman" w:hAnsi="Times New Roman"/>
          <w:sz w:val="16"/>
          <w:szCs w:val="16"/>
          <w:i w:val="1"/>
          <w:iCs w:val="1"/>
          <w:color w:val="auto"/>
        </w:rPr>
        <w:t>Forward Looking Statements</w:t>
      </w:r>
      <w:r>
        <w:rPr>
          <w:rFonts w:ascii="Times New Roman" w:cs="Times New Roman" w:eastAsia="Times New Roman" w:hAnsi="Times New Roman"/>
          <w:sz w:val="16"/>
          <w:szCs w:val="16"/>
          <w:color w:val="auto"/>
        </w:rPr>
        <w:t xml:space="preserve"> at the beginning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auto"/>
        </w:rPr>
        <w:t>Our future operating results are subject to uncertainties that could affect results either positively or negatively. Among the factors that could affect our results are the following:</w:t>
      </w:r>
    </w:p>
    <w:p>
      <w:pPr>
        <w:spacing w:after="0" w:line="115" w:lineRule="exact"/>
        <w:rPr>
          <w:sz w:val="20"/>
          <w:szCs w:val="20"/>
          <w:color w:val="auto"/>
        </w:rPr>
      </w:pPr>
    </w:p>
    <w:p>
      <w:pPr>
        <w:ind w:left="500" w:right="160" w:hanging="250"/>
        <w:spacing w:after="0" w:line="259" w:lineRule="auto"/>
        <w:tabs>
          <w:tab w:leader="none" w:pos="49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additional waivers to allow us to import LEU from Russia so that we may continue supplying LEU to our customers, given the enactment of the Import Ban Act in May 2024;</w:t>
      </w:r>
    </w:p>
    <w:p>
      <w:pPr>
        <w:spacing w:after="0" w:line="59" w:lineRule="exact"/>
        <w:rPr>
          <w:rFonts w:ascii="Times New Roman" w:cs="Times New Roman" w:eastAsia="Times New Roman" w:hAnsi="Times New Roman"/>
          <w:sz w:val="16"/>
          <w:szCs w:val="16"/>
          <w:color w:val="auto"/>
        </w:rPr>
      </w:pPr>
    </w:p>
    <w:p>
      <w:pPr>
        <w:ind w:left="500" w:right="120" w:hanging="250"/>
        <w:spacing w:after="0" w:line="259" w:lineRule="auto"/>
        <w:tabs>
          <w:tab w:leader="none" w:pos="49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in the LEU and energy markets, including pricing, demand, operations, government restrictions on imports, exports or investments, and regulations of our business and activities and those of our customers, suppliers, contractors, and subcontractors;</w:t>
      </w:r>
    </w:p>
    <w:p>
      <w:pPr>
        <w:spacing w:after="0" w:line="59" w:lineRule="exact"/>
        <w:rPr>
          <w:rFonts w:ascii="Times New Roman" w:cs="Times New Roman" w:eastAsia="Times New Roman" w:hAnsi="Times New Roman"/>
          <w:sz w:val="16"/>
          <w:szCs w:val="16"/>
          <w:color w:val="auto"/>
        </w:rPr>
      </w:pPr>
    </w:p>
    <w:p>
      <w:pPr>
        <w:ind w:left="500" w:right="300" w:hanging="250"/>
        <w:spacing w:after="0" w:line="273" w:lineRule="auto"/>
        <w:tabs>
          <w:tab w:leader="none" w:pos="49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Recently enacted sanctions and the potential for additional sanctions and other measures that restrict with whom we may transact or affect the importation, sales or purchases of SWU or uranium or goods or services required for the sale, purchase, transportation or delivery of such SWU or uranium;</w:t>
      </w:r>
    </w:p>
    <w:p>
      <w:pPr>
        <w:spacing w:after="0" w:line="37" w:lineRule="exact"/>
        <w:rPr>
          <w:rFonts w:ascii="Times New Roman" w:cs="Times New Roman" w:eastAsia="Times New Roman" w:hAnsi="Times New Roman"/>
          <w:sz w:val="16"/>
          <w:szCs w:val="16"/>
          <w:color w:val="auto"/>
        </w:rPr>
      </w:pPr>
    </w:p>
    <w:p>
      <w:pPr>
        <w:ind w:left="500" w:right="480" w:hanging="250"/>
        <w:spacing w:after="0" w:line="273" w:lineRule="auto"/>
        <w:tabs>
          <w:tab w:leader="none" w:pos="49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Armed conflicts, including the war in Ukraine, government actions and other events or third-party actions that disrupt supply chains, production, transportation, payments, and importation of nuclear materials or other critical supplies or services;</w:t>
      </w:r>
    </w:p>
    <w:p>
      <w:pPr>
        <w:spacing w:after="0" w:line="37"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terms of additional purchases or sales of SWU and uranium;</w:t>
      </w:r>
    </w:p>
    <w:p>
      <w:pPr>
        <w:spacing w:after="0" w:line="9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customer orders, related deliveries, and purchases of LEU or LEU components;</w:t>
      </w:r>
    </w:p>
    <w:p>
      <w:pPr>
        <w:spacing w:after="0" w:line="9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and future funding and demand for HALEU;</w:t>
      </w:r>
    </w:p>
    <w:p>
      <w:pPr>
        <w:spacing w:after="0" w:line="8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market conditions and other factors that may affect pension and benefit liabilities and the value of related assets;</w:t>
      </w:r>
    </w:p>
    <w:p>
      <w:pPr>
        <w:spacing w:after="0" w:line="9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legal proceedings and other contingencies;</w:t>
      </w:r>
    </w:p>
    <w:p>
      <w:pPr>
        <w:spacing w:after="0" w:line="8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use of cash for strategic or financial initiatives;</w:t>
      </w:r>
    </w:p>
    <w:p>
      <w:pPr>
        <w:spacing w:after="0" w:line="91"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taken by customers and suppliers, including actions that might affect existing contracts;</w:t>
      </w:r>
    </w:p>
    <w:p>
      <w:pPr>
        <w:spacing w:after="0" w:line="91" w:lineRule="exact"/>
        <w:rPr>
          <w:rFonts w:ascii="Times New Roman" w:cs="Times New Roman" w:eastAsia="Times New Roman" w:hAnsi="Times New Roman"/>
          <w:sz w:val="16"/>
          <w:szCs w:val="16"/>
          <w:color w:val="auto"/>
        </w:rPr>
      </w:pPr>
    </w:p>
    <w:p>
      <w:pPr>
        <w:ind w:left="500" w:right="220" w:hanging="250"/>
        <w:spacing w:after="0" w:line="259" w:lineRule="auto"/>
        <w:tabs>
          <w:tab w:leader="none" w:pos="49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government’s ability to satisfy its obligations, including supplying government furnished equipment under its agreements with the Company or processing security clearances due to a shutdown or other reasons; and</w:t>
      </w:r>
    </w:p>
    <w:p>
      <w:pPr>
        <w:spacing w:after="0" w:line="59"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international trade, and other conditions impacting Centrus’ customers and the industry.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further discussion of these uncertainties,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500" w:top="757"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200" w:lineRule="exact"/>
        <w:rPr>
          <w:sz w:val="20"/>
          <w:szCs w:val="20"/>
          <w:color w:val="auto"/>
        </w:rPr>
      </w:pPr>
    </w:p>
    <w:p>
      <w:pPr>
        <w:ind w:right="40" w:firstLine="191"/>
        <w:spacing w:after="0" w:line="259" w:lineRule="auto"/>
        <w:rPr>
          <w:sz w:val="20"/>
          <w:szCs w:val="20"/>
          <w:color w:val="auto"/>
        </w:rPr>
      </w:pPr>
      <w:r>
        <w:rPr>
          <w:rFonts w:ascii="Times New Roman" w:cs="Times New Roman" w:eastAsia="Times New Roman" w:hAnsi="Times New Roman"/>
          <w:sz w:val="16"/>
          <w:szCs w:val="16"/>
          <w:color w:val="auto"/>
        </w:rPr>
        <w:t>The Company’s backlog is $3.8 billion and $2.0 billion as of September 30, 2024 and December 31, 2023, respectively, and extends to 2040. Backlog is recognized as revenue in future periods as work is performed or deliveries of SWU and uranium are made.</w:t>
      </w:r>
    </w:p>
    <w:p>
      <w:pPr>
        <w:spacing w:after="0" w:line="165"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Our backlog in the LEU segment extends to 2040. As of September 30, 2024 and December 31, 2023, our backlog is approximately $2.8 billion and $1.0 billion, respectively. The backlog is the estimated aggregate dollar amount of revenue for future SWU and uranium deliveries primarily under medium and long-term contracts with fixed commitments and approximately $2.0 billion in contingent LEU sales commitments, subject to entering into definitive agreements, in support of potential construction of LEU production capacity at the Piketon, Ohio facility. The contingent sales commitments depend on our ability to secure substantial public and private investment necessary to build new enrichment capacity. The LEU segment backlog also includes approximately $0.2 billion of deferred revenue and advances from customers as of September 30, 2024, whereby customers have made advance payments to be applied against future deliveries. No orders in our backlog are considered at risk related to customer operations. However, these medium and long-term contracts are subject to significant risks and uncertainties, including existing import laws and restrictions such as the RSA, which limits imports of Russian uranium products into the United States and applies to our sales using material procured under the TENEX Supply Contract, as well as the potential for additional sanctions and other restrictions affecting the Company or its suppliers, in response to the evolving situation regarding the war in Ukraine.</w:t>
      </w:r>
    </w:p>
    <w:p>
      <w:pPr>
        <w:spacing w:after="0" w:line="170" w:lineRule="exact"/>
        <w:rPr>
          <w:sz w:val="20"/>
          <w:szCs w:val="20"/>
          <w:color w:val="auto"/>
        </w:rPr>
      </w:pPr>
    </w:p>
    <w:p>
      <w:pPr>
        <w:ind w:right="140" w:firstLine="191"/>
        <w:spacing w:after="0" w:line="252" w:lineRule="auto"/>
        <w:rPr>
          <w:sz w:val="20"/>
          <w:szCs w:val="20"/>
          <w:color w:val="auto"/>
        </w:rPr>
      </w:pPr>
      <w:r>
        <w:rPr>
          <w:rFonts w:ascii="Times New Roman" w:cs="Times New Roman" w:eastAsia="Times New Roman" w:hAnsi="Times New Roman"/>
          <w:sz w:val="16"/>
          <w:szCs w:val="16"/>
          <w:color w:val="auto"/>
        </w:rPr>
        <w:t>Our backlog in the Technical Solutions segment extends to 2033. As of September 30, 2024 and December 31, 2023, our backlog is approximately $0.9 billion and $1.0 billion, respectively. Our backlog includes both funded amounts (services for which funding has been both authorized and appropriated by the customer), unfunded amounts (services for which funding has not been appropriated), and unexercised options in our contracts. If any of our contracts were to be terminated or options not being exercised, our remaining backlog would be reduced by the expected value of the cancelled contracts or forgone options.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We have two reportable segments: the LEU segment and the Technical Solutions segment.</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Revenue from our LEU segment is derived primarily from the following:</w:t>
      </w:r>
    </w:p>
    <w:p>
      <w:pPr>
        <w:spacing w:after="0" w:line="124" w:lineRule="exact"/>
        <w:rPr>
          <w:sz w:val="20"/>
          <w:szCs w:val="20"/>
          <w:color w:val="auto"/>
        </w:rPr>
      </w:pPr>
    </w:p>
    <w:p>
      <w:pPr>
        <w:ind w:left="700" w:hanging="250"/>
        <w:spacing w:after="0"/>
        <w:tabs>
          <w:tab w:leader="none" w:pos="7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the SWU component of LEU,</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natural uranium hexafluoride, uranium concentrates or uranium conversion, and</w:t>
      </w:r>
    </w:p>
    <w:p>
      <w:pPr>
        <w:spacing w:after="0" w:line="8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enriched uranium product that include both the natural uranium hexafluoride and SWU components of LEU.</w:t>
      </w:r>
    </w:p>
    <w:p>
      <w:pPr>
        <w:spacing w:after="0" w:line="198" w:lineRule="exact"/>
        <w:rPr>
          <w:sz w:val="20"/>
          <w:szCs w:val="20"/>
          <w:color w:val="auto"/>
        </w:rPr>
      </w:pPr>
    </w:p>
    <w:p>
      <w:pPr>
        <w:ind w:right="20" w:firstLine="191"/>
        <w:spacing w:after="0" w:line="254" w:lineRule="auto"/>
        <w:rPr>
          <w:sz w:val="20"/>
          <w:szCs w:val="20"/>
          <w:color w:val="auto"/>
        </w:rPr>
      </w:pPr>
      <w:r>
        <w:rPr>
          <w:rFonts w:ascii="Times New Roman" w:cs="Times New Roman" w:eastAsia="Times New Roman" w:hAnsi="Times New Roman"/>
          <w:sz w:val="16"/>
          <w:szCs w:val="16"/>
          <w:color w:val="auto"/>
        </w:rPr>
        <w:t>Our Technical Solutions segment reflects our technical, manufacturing, engineering, and operations services offered to public and private sector customers, including engineering and testing activities as well as technical and resource support currently being performed by the Company. This includes the HALEU Operation Contract and other contracts with public and private sector customers.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color w:val="auto"/>
        </w:rPr>
        <w:t>SWU and Uranium Sales</w:t>
      </w:r>
    </w:p>
    <w:p>
      <w:pPr>
        <w:spacing w:after="0" w:line="200" w:lineRule="exact"/>
        <w:rPr>
          <w:sz w:val="20"/>
          <w:szCs w:val="20"/>
          <w:color w:val="auto"/>
        </w:rPr>
      </w:pPr>
    </w:p>
    <w:p>
      <w:pPr>
        <w:ind w:right="100" w:firstLine="191"/>
        <w:spacing w:after="0" w:line="246" w:lineRule="auto"/>
        <w:rPr>
          <w:sz w:val="20"/>
          <w:szCs w:val="20"/>
          <w:color w:val="auto"/>
        </w:rPr>
      </w:pPr>
      <w:r>
        <w:rPr>
          <w:rFonts w:ascii="Times New Roman" w:cs="Times New Roman" w:eastAsia="Times New Roman" w:hAnsi="Times New Roman"/>
          <w:sz w:val="16"/>
          <w:szCs w:val="16"/>
          <w:color w:val="auto"/>
        </w:rPr>
        <w:t>Revenue from our LEU segment accounted for approximately 60% and 79% of our total revenue for the three and nine months ended September 30, 2024, respectively. The majority of our customers are domestic and international utilities that operate nuclear power plants, with international sales constituting approximately 44% of revenue from our LEU segment since 2022. Our agreements with electric utilities are primarily medium and long-term fixed-commitment contracts under which our customers are obligated to purchase a specified quantity of the SWU component of LEU from us. Contracts where we sell both the SWU and natural uranium hexafluoride components of LEU to utilities or where we sell natural uranium hexafluoride to utilities and other nuclear fuel related companies are generally shorter-term, fixed-commitment contracts. Individual customer orders for the SWU component of LEU fulfilled in the nine months ended September 30, 2024 averaged approximately $9.0 million per order. As a result, a relatively small shift in the timing of customer orders for LEU may cause significant variability in our operating results period over period.</w:t>
      </w:r>
    </w:p>
    <w:p>
      <w:pPr>
        <w:spacing w:after="0" w:line="176" w:lineRule="exact"/>
        <w:rPr>
          <w:sz w:val="20"/>
          <w:szCs w:val="20"/>
          <w:color w:val="auto"/>
        </w:rPr>
      </w:pPr>
    </w:p>
    <w:p>
      <w:pPr>
        <w:jc w:val="both"/>
        <w:ind w:right="400" w:firstLine="191"/>
        <w:spacing w:after="0" w:line="254" w:lineRule="auto"/>
        <w:rPr>
          <w:sz w:val="20"/>
          <w:szCs w:val="20"/>
          <w:color w:val="auto"/>
        </w:rPr>
      </w:pPr>
      <w:r>
        <w:rPr>
          <w:rFonts w:ascii="Times New Roman" w:cs="Times New Roman" w:eastAsia="Times New Roman" w:hAnsi="Times New Roman"/>
          <w:sz w:val="16"/>
          <w:szCs w:val="16"/>
          <w:color w:val="auto"/>
        </w:rPr>
        <w:t xml:space="preserve">Utility customers, in general, have the option to make payment but defer receipt of SWU and uranium products purchased from Centrus beyond the contractual sale period, resulting in the deferral of revenue recognition and related costs. Refer to Note 2, </w:t>
      </w:r>
      <w:r>
        <w:rPr>
          <w:rFonts w:ascii="Times New Roman" w:cs="Times New Roman" w:eastAsia="Times New Roman" w:hAnsi="Times New Roman"/>
          <w:sz w:val="16"/>
          <w:szCs w:val="16"/>
          <w:i w:val="1"/>
          <w:iCs w:val="1"/>
          <w:color w:val="auto"/>
        </w:rPr>
        <w:t>Revenue and Contracts with Customers,</w:t>
      </w:r>
      <w:r>
        <w:rPr>
          <w:rFonts w:ascii="Times New Roman" w:cs="Times New Roman" w:eastAsia="Times New Roman" w:hAnsi="Times New Roman"/>
          <w:sz w:val="16"/>
          <w:szCs w:val="16"/>
          <w:color w:val="auto"/>
        </w:rPr>
        <w:t xml:space="preserve"> of the Consolidated Financial Statements for further details.</w:t>
      </w:r>
    </w:p>
    <w:p>
      <w:pPr>
        <w:spacing w:after="0" w:line="169" w:lineRule="exact"/>
        <w:rPr>
          <w:sz w:val="20"/>
          <w:szCs w:val="20"/>
          <w:color w:val="auto"/>
        </w:rPr>
      </w:pPr>
    </w:p>
    <w:p>
      <w:pPr>
        <w:ind w:firstLine="191"/>
        <w:spacing w:after="0" w:line="292" w:lineRule="auto"/>
        <w:rPr>
          <w:sz w:val="20"/>
          <w:szCs w:val="20"/>
          <w:color w:val="auto"/>
        </w:rPr>
      </w:pPr>
      <w:r>
        <w:rPr>
          <w:rFonts w:ascii="Times New Roman" w:cs="Times New Roman" w:eastAsia="Times New Roman" w:hAnsi="Times New Roman"/>
          <w:sz w:val="14"/>
          <w:szCs w:val="14"/>
          <w:color w:val="auto"/>
        </w:rPr>
        <w:t>Our financial performance over time can be affected significantly by changes in prices for SWU and natural uranium hexafluoride. Market prices for SWU and uranium significantly declined from 2011 until mid-2018, when they began to trend upward. More recently, market uncertainty in the wake of the war in Ukraine has driven SWU and natural</w:t>
      </w:r>
    </w:p>
    <w:p>
      <w:pPr>
        <w:spacing w:after="0" w:line="1"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6"/>
          <w:szCs w:val="16"/>
          <w:color w:val="auto"/>
        </w:rPr>
        <w:t>uranium hexafluoride prices sharply higher. Since our backlog includes contracts awarded to us in previous years, the average SWU price billed to customers typically lags published price indicators by several years. While some sales reflect the low prices prevalent in recent years, certain older contracts included in our backlog have prices that are above current market prices.</w:t>
      </w:r>
    </w:p>
    <w:p>
      <w:pPr>
        <w:spacing w:after="0" w:line="169" w:lineRule="exact"/>
        <w:rPr>
          <w:sz w:val="20"/>
          <w:szCs w:val="20"/>
          <w:color w:val="auto"/>
        </w:rPr>
      </w:pPr>
    </w:p>
    <w:p>
      <w:pPr>
        <w:ind w:right="100" w:firstLine="191"/>
        <w:spacing w:after="0" w:line="297" w:lineRule="auto"/>
        <w:rPr>
          <w:sz w:val="20"/>
          <w:szCs w:val="20"/>
          <w:color w:val="auto"/>
        </w:rPr>
      </w:pPr>
      <w:r>
        <w:rPr>
          <w:rFonts w:ascii="Times New Roman" w:cs="Times New Roman" w:eastAsia="Times New Roman" w:hAnsi="Times New Roman"/>
          <w:sz w:val="14"/>
          <w:szCs w:val="14"/>
          <w:color w:val="auto"/>
        </w:rPr>
        <w:t>The newly enacted Import Ban Act, which bans the importation of LEU from Russia, may severely limit importation through 2027 and will cut off supply of LEU from Russia after 2027. This has drawn attention to the potential for significant tightening of supplies in the market. Russian enrichment plants represent 44% of the world’s capacity, and Russian capacity significantly exceeds its domestic needs. According to data from the WNA, the annual enrichment requirements of reactors worldwide outside of Russia vastly exceeds the available supply of non-Russian enrichment, which potentially threatens the viability of some reactors, including those in the United States. While inventories and increased production at non-Russian plants may partially mitigate the shortfall, these options would not fully replace Russian supply. Deployment of new capacity ultimately could replace Russian enrichment, but this capacity will take a number of years and significant funding from private and/or government sources to come online. Centrus is seeking public and private funding to deploy new production capacity at its Piketon, Ohio, plant to help meet the need for new, domestic supplies of enriched uranium.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0" w:name="page41"/>
    <w:bookmarkEnd w:id="40"/>
    <w:p>
      <w:pPr>
        <w:ind w:left="200"/>
        <w:spacing w:after="0"/>
        <w:rPr>
          <w:sz w:val="20"/>
          <w:szCs w:val="20"/>
          <w:color w:val="auto"/>
        </w:rPr>
      </w:pPr>
      <w:r>
        <w:rPr>
          <w:rFonts w:ascii="Times New Roman" w:cs="Times New Roman" w:eastAsia="Times New Roman" w:hAnsi="Times New Roman"/>
          <w:sz w:val="16"/>
          <w:szCs w:val="16"/>
          <w:color w:val="auto"/>
        </w:rPr>
        <w:t>The following chart summarizes SWU long-term price and SWU and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spot price indicators, as published by TradeTech, LLC in </w:t>
      </w:r>
      <w:r>
        <w:rPr>
          <w:rFonts w:ascii="Times New Roman" w:cs="Times New Roman" w:eastAsia="Times New Roman" w:hAnsi="Times New Roman"/>
          <w:sz w:val="16"/>
          <w:szCs w:val="16"/>
          <w:i w:val="1"/>
          <w:iCs w:val="1"/>
          <w:color w:val="auto"/>
        </w:rPr>
        <w:t>Nuclear Market Review</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SWU and Uranium Market Price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132080</wp:posOffset>
            </wp:positionV>
            <wp:extent cx="4378960" cy="30314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78960" cy="303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 Source: </w:t>
      </w:r>
      <w:r>
        <w:rPr>
          <w:rFonts w:ascii="Times New Roman" w:cs="Times New Roman" w:eastAsia="Times New Roman" w:hAnsi="Times New Roman"/>
          <w:sz w:val="14"/>
          <w:szCs w:val="14"/>
          <w:i w:val="1"/>
          <w:iCs w:val="1"/>
          <w:color w:val="auto"/>
        </w:rPr>
        <w:t>Nuclear Market Review</w:t>
      </w:r>
      <w:r>
        <w:rPr>
          <w:rFonts w:ascii="Times New Roman" w:cs="Times New Roman" w:eastAsia="Times New Roman" w:hAnsi="Times New Roman"/>
          <w:sz w:val="14"/>
          <w:szCs w:val="14"/>
          <w:color w:val="auto"/>
        </w:rPr>
        <w:t>, a TradeTech publication, www.uranium.info</w:t>
      </w:r>
    </w:p>
    <w:p>
      <w:pPr>
        <w:spacing w:after="0" w:line="389" w:lineRule="exact"/>
        <w:rPr>
          <w:sz w:val="20"/>
          <w:szCs w:val="20"/>
          <w:color w:val="auto"/>
        </w:rPr>
      </w:pPr>
    </w:p>
    <w:p>
      <w:pPr>
        <w:ind w:firstLine="191"/>
        <w:spacing w:after="0" w:line="251" w:lineRule="auto"/>
        <w:rPr>
          <w:sz w:val="20"/>
          <w:szCs w:val="20"/>
          <w:color w:val="auto"/>
        </w:rPr>
      </w:pPr>
      <w:r>
        <w:rPr>
          <w:rFonts w:ascii="Times New Roman" w:cs="Times New Roman" w:eastAsia="Times New Roman" w:hAnsi="Times New Roman"/>
          <w:sz w:val="16"/>
          <w:szCs w:val="16"/>
          <w:color w:val="auto"/>
        </w:rPr>
        <w:t>Our contracts with customers are denominated primarily in U.S. dollars, and, although revenue has not been materially affected by changes in the foreign exchange rate of the U.S. dollar, we may have a competitive price advantage or disadvantage in obtaining new contracts in a competitive bidding process depending upon the weakness or strength of the U.S. dollar. Under a customer contract that commenced deliveries in 2023, payments are denominated in euros, and subject to exchange rate risk. Costs of our primary competitors are denominated in other currencies. Our contracts with suppliers are primarily denominated in U.S. dollars. We have a SWU supply agreement, that commenced in 2023, with prices payable in a combination of U.S. dollars and euros but with a contract-defined exchange rate.</w:t>
      </w:r>
    </w:p>
    <w:p>
      <w:pPr>
        <w:spacing w:after="0" w:line="163" w:lineRule="exact"/>
        <w:rPr>
          <w:sz w:val="20"/>
          <w:szCs w:val="20"/>
          <w:color w:val="auto"/>
        </w:rPr>
      </w:pPr>
    </w:p>
    <w:p>
      <w:pPr>
        <w:ind w:right="260" w:firstLine="191"/>
        <w:spacing w:after="0" w:line="346" w:lineRule="auto"/>
        <w:rPr>
          <w:sz w:val="20"/>
          <w:szCs w:val="20"/>
          <w:color w:val="auto"/>
        </w:rPr>
      </w:pPr>
      <w:r>
        <w:rPr>
          <w:rFonts w:ascii="Times New Roman" w:cs="Times New Roman" w:eastAsia="Times New Roman" w:hAnsi="Times New Roman"/>
          <w:sz w:val="14"/>
          <w:szCs w:val="14"/>
          <w:color w:val="auto"/>
        </w:rPr>
        <w:t>On occasion, we accept payment for SWU in the form of natural uranium hexafluoride. Revenue from the sale of SWU under such contracts is recognized at the time LEU is delivered and is based on the fair value of the natural uranium hexafluoride at contract inception, or as the quantity of natural uranium hexafluoride is finalized, if variable.</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00" w:right="359" w:bottom="1440" w:gutter="0" w:footer="0" w:header="0"/>
        </w:sectPr>
      </w:pPr>
    </w:p>
    <w:bookmarkStart w:id="41" w:name="page42"/>
    <w:bookmarkEnd w:id="41"/>
    <w:p>
      <w:pPr>
        <w:ind w:right="100" w:firstLine="191"/>
        <w:spacing w:after="0" w:line="254" w:lineRule="auto"/>
        <w:rPr>
          <w:sz w:val="20"/>
          <w:szCs w:val="20"/>
          <w:color w:val="auto"/>
        </w:rPr>
      </w:pPr>
      <w:r>
        <w:rPr>
          <w:rFonts w:ascii="Times New Roman" w:cs="Times New Roman" w:eastAsia="Times New Roman" w:hAnsi="Times New Roman"/>
          <w:sz w:val="16"/>
          <w:szCs w:val="16"/>
          <w:color w:val="auto"/>
        </w:rPr>
        <w:t>Cost of sales for SWU and uranium is based on the amount of SWU and uranium hexafluoride sold and delivered during the period and unit inventory costs, which are determined using the average cost method. Changes in purchase costs have an effect on inventory costs and cost of sales. Cost of sales includes costs for inventory management at off-site licensed locations, as well as, certain legacy costs related to former employees of the Portsmouth GDP and Paducah GDP.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Technical Solutions</w:t>
      </w:r>
    </w:p>
    <w:p>
      <w:pPr>
        <w:spacing w:after="0" w:line="189"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Our Technical Solutions segment reflects our technical, manufacturing, engineering, and operations services offered to public and private sector customers, including the American Centrifuge engineering, procurement, construction, manufacturing, and operations services being performed under the HALEU Operation Contract. Subject to the availability of sufficient funding and off-take commitments, our goal is to expand our uranium enrichment capacity to meet the full range of U.S. government and commercial requirements for enriched uranium. With our government and private sector customers, we seek to leverage our domestic enrichment experience as well as our engineering know-how and precision manufacturing facility to assist customers with a range of engineering, design, and advanced manufacturing projects, including the production of fuel-related components for next-generation nuclear reactors and the development of related facilities. We continue to invest in advanced technology because of the potential for future growth into new areas of business for the Company, while also preserving our unique workforce at our Technology and Manufacturing Center in Oak Ridge, Tennessee, and our production facility near Piketon, Ohio.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7"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Segment Information</w:t>
      </w:r>
    </w:p>
    <w:p>
      <w:pPr>
        <w:spacing w:after="0" w:line="189" w:lineRule="exact"/>
        <w:rPr>
          <w:sz w:val="20"/>
          <w:szCs w:val="20"/>
          <w:color w:val="auto"/>
        </w:rPr>
      </w:pPr>
    </w:p>
    <w:p>
      <w:pPr>
        <w:ind w:right="80" w:firstLine="191"/>
        <w:spacing w:after="0" w:line="273" w:lineRule="auto"/>
        <w:rPr>
          <w:sz w:val="20"/>
          <w:szCs w:val="20"/>
          <w:color w:val="auto"/>
        </w:rPr>
      </w:pPr>
      <w:r>
        <w:rPr>
          <w:rFonts w:ascii="Times New Roman" w:cs="Times New Roman" w:eastAsia="Times New Roman" w:hAnsi="Times New Roman"/>
          <w:sz w:val="16"/>
          <w:szCs w:val="16"/>
          <w:color w:val="auto"/>
        </w:rPr>
        <w:t>The following tables present elements of the accompanying Consolidated Statements of Operations and Comprehensive Income that are categorized by segment (dollar amounts in millions):</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September 30, 2024 Compared with Three Months Ended September 30, 2023</w:t>
      </w:r>
    </w:p>
    <w:p>
      <w:pPr>
        <w:spacing w:after="0" w:line="22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8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LEU segment</w:t>
            </w: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7"/>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4"/>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SWU revenue</w:t>
            </w:r>
          </w:p>
        </w:tc>
        <w:tc>
          <w:tcPr>
            <w:tcW w:w="106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7"/>
        </w:trPr>
        <w:tc>
          <w:tcPr>
            <w:tcW w:w="3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Uranium revenue</w:t>
            </w:r>
          </w:p>
        </w:tc>
        <w:tc>
          <w:tcPr>
            <w:tcW w:w="106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74"/>
        </w:trPr>
        <w:tc>
          <w:tcPr>
            <w:tcW w:w="38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10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4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7"/>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9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43"/>
        </w:trPr>
        <w:tc>
          <w:tcPr>
            <w:tcW w:w="3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Technical Solutions segment</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7"/>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60" w:type="dxa"/>
            <w:vAlign w:val="bottom"/>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20" w:type="dxa"/>
            <w:vAlign w:val="bottom"/>
          </w:tcPr>
          <w:p>
            <w:pPr>
              <w:spacing w:after="0"/>
              <w:rPr>
                <w:sz w:val="15"/>
                <w:szCs w:val="15"/>
                <w:color w:val="auto"/>
              </w:rPr>
            </w:pPr>
          </w:p>
        </w:tc>
        <w:tc>
          <w:tcPr>
            <w:tcW w:w="1100" w:type="dxa"/>
            <w:vAlign w:val="bottom"/>
          </w:tcPr>
          <w:p>
            <w:pPr>
              <w:jc w:val="right"/>
              <w:ind w:right="95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200" w:type="dxa"/>
            <w:vAlign w:val="bottom"/>
          </w:tcPr>
          <w:p>
            <w:pPr>
              <w:spacing w:after="0"/>
              <w:rPr>
                <w:sz w:val="15"/>
                <w:szCs w:val="15"/>
                <w:color w:val="auto"/>
              </w:rPr>
            </w:pPr>
          </w:p>
        </w:tc>
        <w:tc>
          <w:tcPr>
            <w:tcW w:w="1080" w:type="dxa"/>
            <w:vAlign w:val="bottom"/>
          </w:tcPr>
          <w:p>
            <w:pPr>
              <w:jc w:val="right"/>
              <w:ind w:right="93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112 %</w:t>
            </w: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2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74"/>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06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208 %</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63"/>
        </w:trPr>
        <w:tc>
          <w:tcPr>
            <w:tcW w:w="3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9"/>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6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r>
      <w:tr>
        <w:trPr>
          <w:trHeight w:val="177"/>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22 %</w:t>
            </w:r>
          </w:p>
        </w:tc>
      </w:tr>
      <w:tr>
        <w:trPr>
          <w:trHeight w:val="19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Revenue from the LEU segment was $34.8 million and $40.5 million for the three months ended September 30, 2024 and 2023, respectively, a decrease of $5.7 million (or 14%).</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SWU revenue decreased by $5.7 million as a result of a 71% decrease in the volume of SWU sold, partially offset by a 194% increase in the average price of SWU sold.</w:t>
      </w:r>
    </w:p>
    <w:p>
      <w:pPr>
        <w:spacing w:after="0" w:line="176" w:lineRule="exact"/>
        <w:rPr>
          <w:sz w:val="20"/>
          <w:szCs w:val="20"/>
          <w:color w:val="auto"/>
        </w:rPr>
      </w:pPr>
    </w:p>
    <w:p>
      <w:pPr>
        <w:ind w:right="80" w:firstLine="191"/>
        <w:spacing w:after="0" w:line="261" w:lineRule="auto"/>
        <w:rPr>
          <w:sz w:val="20"/>
          <w:szCs w:val="20"/>
          <w:color w:val="auto"/>
        </w:rPr>
      </w:pPr>
      <w:r>
        <w:rPr>
          <w:rFonts w:ascii="Times New Roman" w:cs="Times New Roman" w:eastAsia="Times New Roman" w:hAnsi="Times New Roman"/>
          <w:sz w:val="16"/>
          <w:szCs w:val="16"/>
          <w:color w:val="auto"/>
        </w:rPr>
        <w:t>Revenue from the Technical Solutions segment was $22.9 million and $10.8 million for the three months ended September 30, 2024 and 2023, respectively, an increase of $12.1 million (or 112%). Revenue generated by the HALEU Operation Contract increased by $12.7 million due to the transition from Phase 1 to Phase 2 in late 2023. The remaining change was attributable to other contracts.</w:t>
      </w:r>
    </w:p>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Cost of Sales</w:t>
      </w:r>
    </w:p>
    <w:p>
      <w:pPr>
        <w:spacing w:after="0" w:line="2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Cost of sales for the LEU segment was $29.6 million and $30.4 million for the three months ended September 30, 2024 and 2023, respectively, a decrease of $0.8 million (or</w:t>
      </w:r>
    </w:p>
    <w:p>
      <w:pPr>
        <w:spacing w:after="0" w:line="1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color w:val="auto"/>
        </w:rPr>
        <w:t>3%). SWU costs decreased as a result of a 71% decrease in the volume of SWU sold, partially offset by a 229% increase in the average unit cost of SWU sold. Cost of sales for the three months ended September 30, 2024 and 2023, included $1.9 million and $0.6 million, respectively, for the revaluation of inventory loans.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43" w:name="page44"/>
    <w:bookmarkEnd w:id="43"/>
    <w:p>
      <w:pPr>
        <w:jc w:val="both"/>
        <w:ind w:right="100" w:firstLine="191"/>
        <w:spacing w:after="0" w:line="254" w:lineRule="auto"/>
        <w:rPr>
          <w:sz w:val="20"/>
          <w:szCs w:val="20"/>
          <w:color w:val="auto"/>
        </w:rPr>
      </w:pPr>
      <w:r>
        <w:rPr>
          <w:rFonts w:ascii="Times New Roman" w:cs="Times New Roman" w:eastAsia="Times New Roman" w:hAnsi="Times New Roman"/>
          <w:sz w:val="16"/>
          <w:szCs w:val="16"/>
          <w:color w:val="auto"/>
        </w:rPr>
        <w:t xml:space="preserve">Cost of sales for the Technical Solutions segment was $19.2 million and $9.6 million for the three months ended September 30, 2024 and 2023, respectively, an increase of $9.6 million (or 100%). Costs incurred for the HALEU Operation Contract increased by $8.8 million due to the transition from Phase 1 to Phase 2 in late 2023. The remaining increase was attributable to other contracts. For details on HALEU Operation Contract accounting, refer to </w:t>
      </w:r>
      <w:r>
        <w:rPr>
          <w:rFonts w:ascii="Times New Roman" w:cs="Times New Roman" w:eastAsia="Times New Roman" w:hAnsi="Times New Roman"/>
          <w:sz w:val="16"/>
          <w:szCs w:val="16"/>
          <w:i w:val="1"/>
          <w:iCs w:val="1"/>
          <w:color w:val="auto"/>
        </w:rPr>
        <w:t>Technical Solutions Segment</w:t>
      </w:r>
      <w:r>
        <w:rPr>
          <w:rFonts w:ascii="Times New Roman" w:cs="Times New Roman" w:eastAsia="Times New Roman" w:hAnsi="Times New Roman"/>
          <w:sz w:val="16"/>
          <w:szCs w:val="16"/>
          <w:color w:val="auto"/>
        </w:rPr>
        <w:t xml:space="preserve"> above.</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189" w:lineRule="exact"/>
        <w:rPr>
          <w:sz w:val="20"/>
          <w:szCs w:val="20"/>
          <w:color w:val="auto"/>
        </w:rPr>
      </w:pPr>
    </w:p>
    <w:p>
      <w:pPr>
        <w:ind w:firstLine="191"/>
        <w:spacing w:after="0" w:line="261" w:lineRule="auto"/>
        <w:rPr>
          <w:sz w:val="20"/>
          <w:szCs w:val="20"/>
          <w:color w:val="auto"/>
        </w:rPr>
      </w:pPr>
      <w:r>
        <w:rPr>
          <w:rFonts w:ascii="Times New Roman" w:cs="Times New Roman" w:eastAsia="Times New Roman" w:hAnsi="Times New Roman"/>
          <w:sz w:val="16"/>
          <w:szCs w:val="16"/>
          <w:color w:val="auto"/>
        </w:rPr>
        <w:t>Gross profit for the LEU segment was $5.2 million and $10.1 million for the three months ended September 30, 2024 and 2023, respectively, a decrease of $4.9 million (or 49%). The decrease for the three months ended September 30, 2024 was due primarily to the specific contract and pricing mix of SWU contracts and the timing of their deliveries quarter over quarter. This was reflected by a decrease in the volume of SWU sold, partially offset by an increase in the average profit margin per SWU.</w:t>
      </w:r>
    </w:p>
    <w:p>
      <w:pPr>
        <w:spacing w:after="0" w:line="153" w:lineRule="exact"/>
        <w:rPr>
          <w:sz w:val="20"/>
          <w:szCs w:val="20"/>
          <w:color w:val="auto"/>
        </w:rPr>
      </w:pPr>
    </w:p>
    <w:p>
      <w:pPr>
        <w:ind w:right="220" w:firstLine="191"/>
        <w:spacing w:after="0" w:line="273" w:lineRule="auto"/>
        <w:rPr>
          <w:sz w:val="20"/>
          <w:szCs w:val="20"/>
          <w:color w:val="auto"/>
        </w:rPr>
      </w:pPr>
      <w:r>
        <w:rPr>
          <w:rFonts w:ascii="Times New Roman" w:cs="Times New Roman" w:eastAsia="Times New Roman" w:hAnsi="Times New Roman"/>
          <w:sz w:val="16"/>
          <w:szCs w:val="16"/>
          <w:color w:val="auto"/>
        </w:rPr>
        <w:t>Gross profit for the Technical Solutions segment was $3.7 million and $1.2 million for the three months ended September 30, 2024 and 2023, respectively, an increase of $2.5 million (or 208%). The increase was primarily attributable to the transition from Phase 1 to Phase 2 of the HALEU Operation Contract in late 2023.</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Nine Months Ended September 30, 2024 Compared with Nine Months Ended September 30, 2023</w:t>
      </w:r>
    </w:p>
    <w:p>
      <w:pPr>
        <w:spacing w:after="0" w:line="2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spacing w:after="0" w:line="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45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2"/>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LEU segment</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77"/>
        </w:trPr>
        <w:tc>
          <w:tcPr>
            <w:tcW w:w="4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SWU revenue</w:t>
            </w:r>
          </w:p>
        </w:tc>
        <w:tc>
          <w:tcPr>
            <w:tcW w:w="10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147.4</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r>
      <w:tr>
        <w:trPr>
          <w:trHeight w:val="177"/>
        </w:trPr>
        <w:tc>
          <w:tcPr>
            <w:tcW w:w="4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Uranium revenue</w:t>
            </w:r>
          </w:p>
        </w:tc>
        <w:tc>
          <w:tcPr>
            <w:tcW w:w="10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4"/>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r>
      <w:tr>
        <w:trPr>
          <w:trHeight w:val="177"/>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126.1</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50 %</w:t>
            </w:r>
          </w:p>
        </w:tc>
      </w:tr>
      <w:tr>
        <w:trPr>
          <w:trHeight w:val="199"/>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04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38.7</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60.8</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43"/>
        </w:trPr>
        <w:tc>
          <w:tcPr>
            <w:tcW w:w="4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Technical Solutions segment</w:t>
            </w: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7"/>
        </w:trPr>
        <w:tc>
          <w:tcPr>
            <w:tcW w:w="4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40" w:type="dxa"/>
            <w:vAlign w:val="bottom"/>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40" w:type="dxa"/>
            <w:vAlign w:val="bottom"/>
          </w:tcPr>
          <w:p>
            <w:pPr>
              <w:spacing w:after="0"/>
              <w:rPr>
                <w:sz w:val="15"/>
                <w:szCs w:val="15"/>
                <w:color w:val="auto"/>
              </w:rPr>
            </w:pPr>
          </w:p>
        </w:tc>
        <w:tc>
          <w:tcPr>
            <w:tcW w:w="1020" w:type="dxa"/>
            <w:vAlign w:val="bottom"/>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200" w:type="dxa"/>
            <w:vAlign w:val="bottom"/>
          </w:tcPr>
          <w:p>
            <w:pPr>
              <w:spacing w:after="0"/>
              <w:rPr>
                <w:sz w:val="15"/>
                <w:szCs w:val="15"/>
                <w:color w:val="auto"/>
              </w:rPr>
            </w:pPr>
          </w:p>
        </w:tc>
        <w:tc>
          <w:tcPr>
            <w:tcW w:w="1040" w:type="dxa"/>
            <w:vAlign w:val="bottom"/>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110 %</w:t>
            </w: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2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82 %</w:t>
            </w:r>
          </w:p>
        </w:tc>
      </w:tr>
      <w:tr>
        <w:trPr>
          <w:trHeight w:val="174"/>
        </w:trPr>
        <w:tc>
          <w:tcPr>
            <w:tcW w:w="4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04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11.0</w:t>
            </w: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633 %</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163"/>
        </w:trPr>
        <w:tc>
          <w:tcPr>
            <w:tcW w:w="45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79"/>
        </w:trPr>
        <w:tc>
          <w:tcPr>
            <w:tcW w:w="4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0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290.4</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216.6</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r>
      <w:tr>
        <w:trPr>
          <w:trHeight w:val="177"/>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10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240.7</w:t>
            </w: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154.3</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56 %</w:t>
            </w:r>
          </w:p>
        </w:tc>
      </w:tr>
      <w:tr>
        <w:trPr>
          <w:trHeight w:val="199"/>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04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49.7</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62.3</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89" w:lineRule="exact"/>
        <w:rPr>
          <w:sz w:val="20"/>
          <w:szCs w:val="20"/>
          <w:color w:val="auto"/>
        </w:rPr>
      </w:pPr>
    </w:p>
    <w:p>
      <w:pPr>
        <w:ind w:right="180" w:firstLine="191"/>
        <w:spacing w:after="0" w:line="307" w:lineRule="auto"/>
        <w:rPr>
          <w:sz w:val="20"/>
          <w:szCs w:val="20"/>
          <w:color w:val="auto"/>
        </w:rPr>
      </w:pPr>
      <w:r>
        <w:rPr>
          <w:rFonts w:ascii="Times New Roman" w:cs="Times New Roman" w:eastAsia="Times New Roman" w:hAnsi="Times New Roman"/>
          <w:sz w:val="14"/>
          <w:szCs w:val="14"/>
          <w:color w:val="auto"/>
        </w:rPr>
        <w:t>Revenue from the LEU segment was $228.0 million and $186.9 million for the nine months ended September 30, 2024 and 2023, respectively, an increase of $41.1 million (or 22%). SWU revenue increased by $50.7 million as a result of a 33% increase in the average price of SWU sold and a 2% increase in the volume of SWU sold. Uranium revenue decreased by $9.6 million as a result of a 40% decrease in the volume of uranium sold, partially offset by a 26% increase in the average price of uranium sold.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44" w:name="page45"/>
    <w:bookmarkEnd w:id="44"/>
    <w:p>
      <w:pPr>
        <w:ind w:right="140" w:firstLine="191"/>
        <w:spacing w:after="0" w:line="254" w:lineRule="auto"/>
        <w:rPr>
          <w:sz w:val="20"/>
          <w:szCs w:val="20"/>
          <w:color w:val="auto"/>
        </w:rPr>
      </w:pPr>
      <w:r>
        <w:rPr>
          <w:rFonts w:ascii="Times New Roman" w:cs="Times New Roman" w:eastAsia="Times New Roman" w:hAnsi="Times New Roman"/>
          <w:sz w:val="16"/>
          <w:szCs w:val="16"/>
          <w:color w:val="auto"/>
        </w:rPr>
        <w:t>Revenue from the Technical Solutions segment was $62.4 million and $29.7 million for the nine months ended September 30, 2024 and 2023, respectively, an increase of $32.7 million (or 110%). Revenue generated by the HALEU Operation Contract increased by $33.1 million due to the transition from Phase 1 to Phase 2 in late 2023. The remaining change was attributable to other contracts.</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Cost of Sales</w:t>
      </w:r>
    </w:p>
    <w:p>
      <w:pPr>
        <w:spacing w:after="0" w:line="189" w:lineRule="exact"/>
        <w:rPr>
          <w:sz w:val="20"/>
          <w:szCs w:val="20"/>
          <w:color w:val="auto"/>
        </w:rPr>
      </w:pPr>
    </w:p>
    <w:p>
      <w:pPr>
        <w:ind w:right="20" w:firstLine="191"/>
        <w:spacing w:after="0" w:line="252" w:lineRule="auto"/>
        <w:rPr>
          <w:sz w:val="20"/>
          <w:szCs w:val="20"/>
          <w:color w:val="auto"/>
        </w:rPr>
      </w:pPr>
      <w:r>
        <w:rPr>
          <w:rFonts w:ascii="Times New Roman" w:cs="Times New Roman" w:eastAsia="Times New Roman" w:hAnsi="Times New Roman"/>
          <w:sz w:val="16"/>
          <w:szCs w:val="16"/>
          <w:color w:val="auto"/>
        </w:rPr>
        <w:t>Cost of sales for the LEU segment was $189.3 million and $126.1 million for the nine months ended September 30, 2024 and 2023, respectively, an increase of $63.2 million (or 50%). SWU costs increased as a result of a 75% increase in the average unit cost of SWU sold and a 2% increase in the volume of SWU sold. Uranium costs decreased as a result of a 40% decrease in the volume of uranium sold, partially offset by a 31% increase in the average unit cost of uranium sold. Cost of sales for the nine months ended September 30, 2024 and 2023, included $3.7 million and $3.5 million, respectively, for the revaluation of inventory loans.</w:t>
      </w:r>
    </w:p>
    <w:p>
      <w:pPr>
        <w:spacing w:after="0" w:line="172"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 xml:space="preserve">Cost of sales for the Technical Solutions segment was $51.4 million and $28.2 million for the nine months ended September 30, 2024 and 2023, respectively, an increase of $23.2 million (or 82%). Costs incurred for the HALEU Operation Contract increased by $21.8 million due to the transition from Phase 1 to Phase 2 in late 2023. For details on HALEU Operation Contract accounting, refer to </w:t>
      </w:r>
      <w:r>
        <w:rPr>
          <w:rFonts w:ascii="Times New Roman" w:cs="Times New Roman" w:eastAsia="Times New Roman" w:hAnsi="Times New Roman"/>
          <w:sz w:val="16"/>
          <w:szCs w:val="16"/>
          <w:i w:val="1"/>
          <w:iCs w:val="1"/>
          <w:color w:val="auto"/>
        </w:rPr>
        <w:t>Technical Solutions Segment</w:t>
      </w:r>
      <w:r>
        <w:rPr>
          <w:rFonts w:ascii="Times New Roman" w:cs="Times New Roman" w:eastAsia="Times New Roman" w:hAnsi="Times New Roman"/>
          <w:sz w:val="16"/>
          <w:szCs w:val="16"/>
          <w:color w:val="auto"/>
        </w:rPr>
        <w:t xml:space="preserve"> above. The remaining increase was attributable to costs incurred under other contracts.</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18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Gross profit for the LEU segment was $38.7 million and $60.8 million for the nine months ended September 30, 2024 and 2023, respectively, a decrease of $22.1 million (or</w:t>
      </w:r>
    </w:p>
    <w:p>
      <w:pPr>
        <w:spacing w:after="0" w:line="19"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16"/>
          <w:szCs w:val="16"/>
          <w:color w:val="auto"/>
        </w:rPr>
        <w:t>36%). The decrease for the nine months ended September 30, 2024 was due primarily to the decrease in margin on SWU sales due to the specific contract and pricing mix of SWU contracts and the timing of their deliveries period over period. This was reflected by a decrease in the average profit margin per SWU, partially offset by an increase in the volume of SWU sold.</w:t>
      </w:r>
    </w:p>
    <w:p>
      <w:pPr>
        <w:spacing w:after="0" w:line="176" w:lineRule="exact"/>
        <w:rPr>
          <w:sz w:val="20"/>
          <w:szCs w:val="20"/>
          <w:color w:val="auto"/>
        </w:rPr>
      </w:pPr>
    </w:p>
    <w:p>
      <w:pPr>
        <w:ind w:right="220" w:firstLine="191"/>
        <w:spacing w:after="0" w:line="259" w:lineRule="auto"/>
        <w:rPr>
          <w:sz w:val="20"/>
          <w:szCs w:val="20"/>
          <w:color w:val="auto"/>
        </w:rPr>
      </w:pPr>
      <w:r>
        <w:rPr>
          <w:rFonts w:ascii="Times New Roman" w:cs="Times New Roman" w:eastAsia="Times New Roman" w:hAnsi="Times New Roman"/>
          <w:sz w:val="16"/>
          <w:szCs w:val="16"/>
          <w:color w:val="auto"/>
        </w:rPr>
        <w:t>Gross profit for the Technical Solutions segment was $11.0 million and $1.5 million for the nine months ended September 30, 2024 and 2023, respectively, an increase of $9.5 million (or 633%). The increase was primarily attributable to the transition from Phase 1 to Phase 2 of the HALEU Operation Contract in late 2023.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45" w:name="page46"/>
    <w:bookmarkEnd w:id="45"/>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Non-Segment Information</w:t>
      </w:r>
    </w:p>
    <w:p>
      <w:pPr>
        <w:spacing w:after="0" w:line="200" w:lineRule="exact"/>
        <w:rPr>
          <w:sz w:val="20"/>
          <w:szCs w:val="20"/>
          <w:color w:val="auto"/>
        </w:rPr>
      </w:pPr>
    </w:p>
    <w:p>
      <w:pPr>
        <w:ind w:right="360" w:firstLine="191"/>
        <w:spacing w:after="0" w:line="259" w:lineRule="auto"/>
        <w:rPr>
          <w:sz w:val="20"/>
          <w:szCs w:val="20"/>
          <w:color w:val="auto"/>
        </w:rPr>
      </w:pPr>
      <w:r>
        <w:rPr>
          <w:rFonts w:ascii="Times New Roman" w:cs="Times New Roman" w:eastAsia="Times New Roman" w:hAnsi="Times New Roman"/>
          <w:sz w:val="16"/>
          <w:szCs w:val="16"/>
          <w:color w:val="auto"/>
        </w:rPr>
        <w:t>The following tables present elements of the accompanying Consolidated Statements of Operations and Comprehensive Income that are not categorized by segment (dollar amounts in millions):</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September 30, 2024 Compared with Three Months Ended September 30, 2023</w:t>
      </w:r>
    </w:p>
    <w:p>
      <w:pPr>
        <w:spacing w:after="0" w:line="2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48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7"/>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Advanced technology costs</w:t>
            </w: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24 %</w:t>
            </w:r>
          </w:p>
        </w:tc>
      </w:tr>
      <w:tr>
        <w:trPr>
          <w:trHeight w:val="18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r>
      <w:tr>
        <w:trPr>
          <w:trHeight w:val="177"/>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71 %</w:t>
            </w:r>
          </w:p>
        </w:tc>
      </w:tr>
      <w:tr>
        <w:trPr>
          <w:trHeight w:val="17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loss</w:t>
            </w: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77"/>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Nonoperating components of net periodic benefit loss (income)</w:t>
            </w: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233 %</w:t>
            </w:r>
          </w:p>
        </w:tc>
      </w:tr>
      <w:tr>
        <w:trPr>
          <w:trHeight w:val="18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77"/>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84"/>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expense (income), net</w:t>
            </w:r>
          </w:p>
        </w:tc>
        <w:tc>
          <w:tcPr>
            <w:tcW w:w="9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68"/>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9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(1,083)%</w:t>
            </w:r>
          </w:p>
        </w:tc>
      </w:tr>
      <w:tr>
        <w:trPr>
          <w:trHeight w:val="18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benefit</w:t>
            </w:r>
          </w:p>
        </w:tc>
        <w:tc>
          <w:tcPr>
            <w:tcW w:w="9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88 %</w:t>
            </w:r>
          </w:p>
        </w:tc>
      </w:tr>
      <w:tr>
        <w:trPr>
          <w:trHeight w:val="174"/>
        </w:trPr>
        <w:tc>
          <w:tcPr>
            <w:tcW w:w="4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(loss) and comprehensive income (loss)</w:t>
            </w:r>
          </w:p>
        </w:tc>
        <w:tc>
          <w:tcPr>
            <w:tcW w:w="9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w:t>
            </w:r>
          </w:p>
        </w:tc>
        <w:tc>
          <w:tcPr>
            <w:tcW w:w="200" w:type="dxa"/>
            <w:vAlign w:val="bottom"/>
          </w:tcPr>
          <w:p>
            <w:pPr>
              <w:spacing w:after="0"/>
              <w:rPr>
                <w:sz w:val="15"/>
                <w:szCs w:val="15"/>
                <w:color w:val="auto"/>
              </w:rPr>
            </w:pPr>
          </w:p>
        </w:tc>
        <w:tc>
          <w:tcPr>
            <w:tcW w:w="4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8.2</w:t>
            </w:r>
          </w:p>
        </w:tc>
        <w:tc>
          <w:tcPr>
            <w:tcW w:w="200" w:type="dxa"/>
            <w:vAlign w:val="bottom"/>
          </w:tcPr>
          <w:p>
            <w:pPr>
              <w:spacing w:after="0"/>
              <w:rPr>
                <w:sz w:val="15"/>
                <w:szCs w:val="15"/>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20"/>
        </w:trPr>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Amortization of Intangible Assets</w:t>
      </w:r>
    </w:p>
    <w:p>
      <w:pPr>
        <w:spacing w:after="0" w:line="200" w:lineRule="exact"/>
        <w:rPr>
          <w:sz w:val="20"/>
          <w:szCs w:val="20"/>
          <w:color w:val="auto"/>
        </w:rPr>
      </w:pPr>
    </w:p>
    <w:p>
      <w:pPr>
        <w:jc w:val="both"/>
        <w:ind w:right="20" w:firstLine="191"/>
        <w:spacing w:after="0" w:line="254" w:lineRule="auto"/>
        <w:rPr>
          <w:sz w:val="20"/>
          <w:szCs w:val="20"/>
          <w:color w:val="auto"/>
        </w:rPr>
      </w:pPr>
      <w:r>
        <w:rPr>
          <w:rFonts w:ascii="Times New Roman" w:cs="Times New Roman" w:eastAsia="Times New Roman" w:hAnsi="Times New Roman"/>
          <w:sz w:val="16"/>
          <w:szCs w:val="16"/>
          <w:color w:val="auto"/>
        </w:rPr>
        <w:t>Amortization of intangible assets was $2.4 million and $1.4 million for the three months ended September 30, 2024 and 2023, respectively, an increase of $1.0 million (or 71%). Amortization expense for the intangible asset related to the September 2014 sales backlog is a function of SWU sales volume under that backlog, and amortization expense for the intangible asset related to customer relationships is amortized on a straight-line basis.</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Nonoperating Components of Net Periodic Benefit Loss (Income)</w:t>
      </w:r>
    </w:p>
    <w:p>
      <w:pPr>
        <w:spacing w:after="0" w:line="200" w:lineRule="exact"/>
        <w:rPr>
          <w:sz w:val="20"/>
          <w:szCs w:val="20"/>
          <w:color w:val="auto"/>
        </w:rPr>
      </w:pPr>
    </w:p>
    <w:p>
      <w:pPr>
        <w:ind w:right="160" w:firstLine="191"/>
        <w:spacing w:after="0" w:line="252" w:lineRule="auto"/>
        <w:rPr>
          <w:sz w:val="20"/>
          <w:szCs w:val="20"/>
          <w:color w:val="auto"/>
        </w:rPr>
      </w:pPr>
      <w:r>
        <w:rPr>
          <w:rFonts w:ascii="Times New Roman" w:cs="Times New Roman" w:eastAsia="Times New Roman" w:hAnsi="Times New Roman"/>
          <w:sz w:val="16"/>
          <w:szCs w:val="16"/>
          <w:color w:val="auto"/>
        </w:rPr>
        <w:t xml:space="preserve">Nonoperating components of net periodic benefit loss (income) netted to a loss of $0.8 million and income of $0.6 million for the three months ended September 30, 2024 and 2023, respectively, a change of $1.4 million (or 233%). Nonoperating components of net periodic benefit income consist primarily of the expected return on plan assets and the remeasurement related to lump sum payouts, partially offset by interest cost as the discounted present value of benefit obligations nears payment, as described in Note 8, </w:t>
      </w:r>
      <w:r>
        <w:rPr>
          <w:rFonts w:ascii="Times New Roman" w:cs="Times New Roman" w:eastAsia="Times New Roman" w:hAnsi="Times New Roman"/>
          <w:sz w:val="16"/>
          <w:szCs w:val="16"/>
          <w:i w:val="1"/>
          <w:iCs w:val="1"/>
          <w:color w:val="auto"/>
        </w:rPr>
        <w:t>Pension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and Postretirement Health and Life Benefits </w:t>
      </w:r>
      <w:r>
        <w:rPr>
          <w:rFonts w:ascii="Times New Roman" w:cs="Times New Roman" w:eastAsia="Times New Roman" w:hAnsi="Times New Roman"/>
          <w:sz w:val="16"/>
          <w:szCs w:val="16"/>
          <w:color w:val="auto"/>
        </w:rPr>
        <w:t>of the Consolidated Financial Statements.</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Income Tax Benefit</w:t>
      </w:r>
    </w:p>
    <w:p>
      <w:pPr>
        <w:spacing w:after="0" w:line="200"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 xml:space="preserve">Income tax benefit was $0.9 million and $7.6 million for the three months ended September 30, 2024 and 2023, respectively, a decrease of $6.7 million (or 88%). Income tax benefit for both periods resulted from applying the annual effective tax rate to the quarterly income from continuing operations adjusted for discrete items. In addition, a decrease to the federal tax valuation allowance of $7.7 million was recorded during the three months ended September 30, 2023. For more information about the valuation allowance, see Note 14,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in our Consolidated Financial Statements on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46" w:name="page47"/>
    <w:bookmarkEnd w:id="46"/>
    <w:p>
      <w:pPr>
        <w:ind w:left="200"/>
        <w:spacing w:after="0"/>
        <w:rPr>
          <w:sz w:val="20"/>
          <w:szCs w:val="20"/>
          <w:color w:val="auto"/>
        </w:rPr>
      </w:pPr>
      <w:r>
        <w:rPr>
          <w:rFonts w:ascii="Times New Roman" w:cs="Times New Roman" w:eastAsia="Times New Roman" w:hAnsi="Times New Roman"/>
          <w:sz w:val="16"/>
          <w:szCs w:val="16"/>
          <w:i w:val="1"/>
          <w:iCs w:val="1"/>
          <w:color w:val="auto"/>
        </w:rPr>
        <w:t>Net Income (Loss) and Comprehensive Income (Loss)</w:t>
      </w:r>
    </w:p>
    <w:p>
      <w:pPr>
        <w:spacing w:after="0" w:line="200"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Net income (loss) netted to a loss of $5.0 million and income of $8.2 million for the three months ended September 30, 2024 and 2023, respectively, a change of $13.2 million (or 161%). The change of $13.2 million was primarily attributable to a decrease of $6.7 million in income tax benefit and a decrease of $4.9 million in gross profit from the LEU segment, partially offset by an increase of $2.5 million in gross profit from the Technical Solutions segment.</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Nine Months Ended September 30, 2024 Compared with Nine Months Ended September 30, 2023</w:t>
      </w:r>
    </w:p>
    <w:p>
      <w:pPr>
        <w:spacing w:after="0" w:line="30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b w:val="1"/>
          <w:bCs w:val="1"/>
          <w:color w:val="auto"/>
        </w:rPr>
        <w:t>Nine Months Ended</w:t>
      </w: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0"/>
        </w:trPr>
        <w:tc>
          <w:tcPr>
            <w:tcW w:w="5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7"/>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Advanced technology costs</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29 %</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71 %</w:t>
            </w:r>
          </w:p>
        </w:tc>
      </w:tr>
      <w:tr>
        <w:trPr>
          <w:trHeight w:val="17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77"/>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Nonoperating components of net periodic benefit loss (income)</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(15,500)%</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7"/>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 (income), net</w:t>
            </w: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110 %</w:t>
            </w: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400 %</w:t>
            </w:r>
          </w:p>
        </w:tc>
      </w:tr>
      <w:tr>
        <w:trPr>
          <w:trHeight w:val="174"/>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and comprehensive income</w:t>
            </w:r>
          </w:p>
        </w:tc>
        <w:tc>
          <w:tcPr>
            <w:tcW w:w="9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19.5</w:t>
            </w: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28.1</w:t>
            </w:r>
          </w:p>
        </w:tc>
        <w:tc>
          <w:tcPr>
            <w:tcW w:w="180" w:type="dxa"/>
            <w:vAlign w:val="bottom"/>
          </w:tcPr>
          <w:p>
            <w:pPr>
              <w:spacing w:after="0"/>
              <w:rPr>
                <w:sz w:val="15"/>
                <w:szCs w:val="15"/>
                <w:color w:val="auto"/>
              </w:rPr>
            </w:pPr>
          </w:p>
        </w:tc>
        <w:tc>
          <w:tcPr>
            <w:tcW w:w="5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20"/>
        </w:trPr>
        <w:tc>
          <w:tcPr>
            <w:tcW w:w="5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Advanced Technology Costs</w:t>
      </w:r>
    </w:p>
    <w:p>
      <w:pPr>
        <w:spacing w:after="0" w:line="200" w:lineRule="exact"/>
        <w:rPr>
          <w:sz w:val="20"/>
          <w:szCs w:val="20"/>
          <w:color w:val="auto"/>
        </w:rPr>
      </w:pPr>
    </w:p>
    <w:p>
      <w:pPr>
        <w:ind w:right="160" w:firstLine="191"/>
        <w:spacing w:after="0" w:line="254" w:lineRule="auto"/>
        <w:rPr>
          <w:sz w:val="20"/>
          <w:szCs w:val="20"/>
          <w:color w:val="auto"/>
        </w:rPr>
      </w:pPr>
      <w:r>
        <w:rPr>
          <w:rFonts w:ascii="Times New Roman" w:cs="Times New Roman" w:eastAsia="Times New Roman" w:hAnsi="Times New Roman"/>
          <w:sz w:val="16"/>
          <w:szCs w:val="16"/>
          <w:color w:val="auto"/>
        </w:rPr>
        <w:t>Advanced technology costs were $13.9 million and $10.8 million for the nine months ended September 30, 2024 and 2023, respectively, an increase of $3.1 million (or 29%). Advanced technology costs consist of American Centrifuge work and related expenses that are outside of our customer contracts in the Technical Solutions segment, including bid and proposal activities and work to improve our centrifuge manufacturing capability.</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Selling, General and Administrative</w:t>
      </w:r>
    </w:p>
    <w:p>
      <w:pPr>
        <w:spacing w:after="0" w:line="189" w:lineRule="exact"/>
        <w:rPr>
          <w:sz w:val="20"/>
          <w:szCs w:val="20"/>
          <w:color w:val="auto"/>
        </w:rPr>
      </w:pPr>
    </w:p>
    <w:p>
      <w:pPr>
        <w:ind w:right="140" w:firstLine="191"/>
        <w:spacing w:after="0" w:line="273" w:lineRule="auto"/>
        <w:rPr>
          <w:sz w:val="20"/>
          <w:szCs w:val="20"/>
          <w:color w:val="auto"/>
        </w:rPr>
      </w:pPr>
      <w:r>
        <w:rPr>
          <w:rFonts w:ascii="Times New Roman" w:cs="Times New Roman" w:eastAsia="Times New Roman" w:hAnsi="Times New Roman"/>
          <w:sz w:val="16"/>
          <w:szCs w:val="16"/>
          <w:color w:val="auto"/>
        </w:rPr>
        <w:t>Selling, general and administrative costs were $25.7 million and $27.5 million for the nine months ended September 30, 2024 and 2023, respectively, a decrease of $1.8 million (or 7%). This decrease was due primarily to a decrease in employee-related expenses, including equity related compensation.</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Amortization of Intangible Assets</w:t>
      </w:r>
    </w:p>
    <w:p>
      <w:pPr>
        <w:spacing w:after="0" w:line="200" w:lineRule="exact"/>
        <w:rPr>
          <w:sz w:val="20"/>
          <w:szCs w:val="20"/>
          <w:color w:val="auto"/>
        </w:rPr>
      </w:pPr>
    </w:p>
    <w:p>
      <w:pPr>
        <w:ind w:right="180" w:firstLine="191"/>
        <w:spacing w:after="0" w:line="254" w:lineRule="auto"/>
        <w:rPr>
          <w:sz w:val="20"/>
          <w:szCs w:val="20"/>
          <w:color w:val="auto"/>
        </w:rPr>
      </w:pPr>
      <w:r>
        <w:rPr>
          <w:rFonts w:ascii="Times New Roman" w:cs="Times New Roman" w:eastAsia="Times New Roman" w:hAnsi="Times New Roman"/>
          <w:sz w:val="16"/>
          <w:szCs w:val="16"/>
          <w:color w:val="auto"/>
        </w:rPr>
        <w:t>Amortization of intangible assets was $7.2 million and $4.2 million in the nine months ended September 30, 2024 and 2023, respectively, an increase of $3.0 million (or 71%). Amortization expense for the intangible asset related to the September 2014 backlog is a function of SWU sales volume under that backlog, and amortization expense for the intangible asset related to customer relationships is amortized on a straight-line basis.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7" w:name="page48"/>
    <w:bookmarkEnd w:id="47"/>
    <w:p>
      <w:pPr>
        <w:ind w:left="200"/>
        <w:spacing w:after="0"/>
        <w:rPr>
          <w:sz w:val="20"/>
          <w:szCs w:val="20"/>
          <w:color w:val="auto"/>
        </w:rPr>
      </w:pPr>
      <w:r>
        <w:rPr>
          <w:rFonts w:ascii="Times New Roman" w:cs="Times New Roman" w:eastAsia="Times New Roman" w:hAnsi="Times New Roman"/>
          <w:sz w:val="16"/>
          <w:szCs w:val="16"/>
          <w:i w:val="1"/>
          <w:iCs w:val="1"/>
          <w:color w:val="auto"/>
        </w:rPr>
        <w:t>Nonoperating Components of Net Periodic Benefit Loss (Income)</w:t>
      </w:r>
    </w:p>
    <w:p>
      <w:pPr>
        <w:spacing w:after="0" w:line="200" w:lineRule="exact"/>
        <w:rPr>
          <w:sz w:val="20"/>
          <w:szCs w:val="20"/>
          <w:color w:val="auto"/>
        </w:rPr>
      </w:pPr>
    </w:p>
    <w:p>
      <w:pPr>
        <w:ind w:right="120" w:firstLine="191"/>
        <w:spacing w:after="0" w:line="247" w:lineRule="auto"/>
        <w:rPr>
          <w:sz w:val="20"/>
          <w:szCs w:val="20"/>
          <w:color w:val="auto"/>
        </w:rPr>
      </w:pPr>
      <w:r>
        <w:rPr>
          <w:rFonts w:ascii="Times New Roman" w:cs="Times New Roman" w:eastAsia="Times New Roman" w:hAnsi="Times New Roman"/>
          <w:sz w:val="16"/>
          <w:szCs w:val="16"/>
          <w:color w:val="auto"/>
        </w:rPr>
        <w:t xml:space="preserve">Nonoperating components of net periodic benefit loss (income) netted to income of $15.4 million and a loss of $0.1 million for the nine months ended September 30, 2024 and 2023, respectively, a change of $15.5 million (or 15,500%). The change is primarily due to the $16.8 million remeasurement gain driven by the partial annuitization of two pension plans in May 2024. The remaining change is primarily related to the expected return on plan assets, partially offset by interest cost as the discounted present value of benefit obligations nears payment, as described in Note 8, </w:t>
      </w:r>
      <w:r>
        <w:rPr>
          <w:rFonts w:ascii="Times New Roman" w:cs="Times New Roman" w:eastAsia="Times New Roman" w:hAnsi="Times New Roman"/>
          <w:sz w:val="16"/>
          <w:szCs w:val="16"/>
          <w:i w:val="1"/>
          <w:iCs w:val="1"/>
          <w:color w:val="auto"/>
        </w:rPr>
        <w:t>Pension and Postretirement Health and Life Benefits</w:t>
      </w:r>
      <w:r>
        <w:rPr>
          <w:rFonts w:ascii="Times New Roman" w:cs="Times New Roman" w:eastAsia="Times New Roman" w:hAnsi="Times New Roman"/>
          <w:sz w:val="16"/>
          <w:szCs w:val="16"/>
          <w:color w:val="auto"/>
        </w:rPr>
        <w:t xml:space="preserve"> of the Consolidated Financial Statements.</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Income Tax Expense (Benefit)</w:t>
      </w:r>
    </w:p>
    <w:p>
      <w:pPr>
        <w:spacing w:after="0" w:line="200" w:lineRule="exact"/>
        <w:rPr>
          <w:sz w:val="20"/>
          <w:szCs w:val="20"/>
          <w:color w:val="auto"/>
        </w:rPr>
      </w:pPr>
    </w:p>
    <w:p>
      <w:pPr>
        <w:ind w:right="40" w:firstLine="191"/>
        <w:spacing w:after="0" w:line="247" w:lineRule="auto"/>
        <w:rPr>
          <w:sz w:val="20"/>
          <w:szCs w:val="20"/>
          <w:color w:val="auto"/>
        </w:rPr>
      </w:pPr>
      <w:r>
        <w:rPr>
          <w:rFonts w:ascii="Times New Roman" w:cs="Times New Roman" w:eastAsia="Times New Roman" w:hAnsi="Times New Roman"/>
          <w:sz w:val="16"/>
          <w:szCs w:val="16"/>
          <w:color w:val="auto"/>
        </w:rPr>
        <w:t xml:space="preserve">Income tax expense was $5.7 million and income tax benefit was $1.9 million in the nine months ended September 30, 2024 and 2023, respectively, a change of $7.6 million (or 400%). Income tax expense (benefit) for both periods resulted from applying the annual effective tax rate to the quarterly income from continuing operations adjusted for discrete items. In addition, a decrease to the federal tax valuation allowance of $7.7 million was recorded during the nine months ended September 30, 2023. For more information about the valuation allowance, see Note 14,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in our Consolidated Financial Statements on Form 10-K for the year ended December 31, 2023.</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Net Income and Comprehensive Income</w:t>
      </w:r>
    </w:p>
    <w:p>
      <w:pPr>
        <w:spacing w:after="0" w:line="200"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Net income was $19.5 million and $28.1 million in the nine months ended September 30, 2024 and 2023, respectively, a decrease of $8.6 million (or 31%). The decrease was primarily attributable to a decrease of $22.1 million in gross profit in the LEU segment and an increase in income tax expense of $7.6 million, partially offset by an increase of $15.5 million in nonoperating components of net periodic benefit income and an increase of $9.5 million in gross profit from the Technical Solutions segment.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6"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0" w:lineRule="exact"/>
        <w:rPr>
          <w:sz w:val="20"/>
          <w:szCs w:val="20"/>
          <w:color w:val="auto"/>
        </w:rPr>
      </w:pPr>
    </w:p>
    <w:p>
      <w:pPr>
        <w:ind w:firstLine="191"/>
        <w:spacing w:after="0" w:line="290" w:lineRule="auto"/>
        <w:rPr>
          <w:sz w:val="20"/>
          <w:szCs w:val="20"/>
          <w:color w:val="auto"/>
        </w:rPr>
      </w:pPr>
      <w:r>
        <w:rPr>
          <w:rFonts w:ascii="Times New Roman" w:cs="Times New Roman" w:eastAsia="Times New Roman" w:hAnsi="Times New Roman"/>
          <w:sz w:val="14"/>
          <w:szCs w:val="14"/>
          <w:color w:val="auto"/>
        </w:rPr>
        <w:t>As of September 30, 2024, the Company had a consolidated cash and cash equivalents balance of $194.3 million. In addition, there was $29.8 million of restricted cash related to three inventory loans, which required a cash deposit into an escrow fund. See Note 3</w:t>
      </w:r>
      <w:r>
        <w:rPr>
          <w:rFonts w:ascii="Times New Roman" w:cs="Times New Roman" w:eastAsia="Times New Roman" w:hAnsi="Times New Roman"/>
          <w:sz w:val="14"/>
          <w:szCs w:val="14"/>
          <w:i w:val="1"/>
          <w:iCs w:val="1"/>
          <w:color w:val="auto"/>
        </w:rPr>
        <w:t>, Cash, Cash Equivalents, and Restricted Cash</w:t>
      </w:r>
      <w:r>
        <w:rPr>
          <w:rFonts w:ascii="Times New Roman" w:cs="Times New Roman" w:eastAsia="Times New Roman" w:hAnsi="Times New Roman"/>
          <w:sz w:val="14"/>
          <w:szCs w:val="14"/>
          <w:color w:val="auto"/>
        </w:rPr>
        <w:t xml:space="preserve"> of the Consolidated Financial Statements. The Company anticipates having adequate liquidity to support our business operations for at least the next 12 months from the date of this Quarterly Report on Form 10-Q. Our view of liquidity is dependent on, among other things, conditions affecting our operations, including market, international trade restrictions, sanctions and other conditions, the impact of the May 2024 enactment of the Import Ban Act and our ability to obtain additional waivers thereunder, the level of expenditures and government funding for our services contracts, and the timing of customer payments. Liquidity requirements for our existing operations are affected primarily by the timing and amount of customer sales and our inventory purchases.</w:t>
      </w:r>
    </w:p>
    <w:p>
      <w:pPr>
        <w:spacing w:after="0" w:line="138" w:lineRule="exact"/>
        <w:rPr>
          <w:sz w:val="20"/>
          <w:szCs w:val="20"/>
          <w:color w:val="auto"/>
        </w:rPr>
      </w:pPr>
    </w:p>
    <w:p>
      <w:pPr>
        <w:ind w:right="220" w:firstLine="191"/>
        <w:spacing w:after="0" w:line="273" w:lineRule="auto"/>
        <w:rPr>
          <w:sz w:val="20"/>
          <w:szCs w:val="20"/>
          <w:color w:val="auto"/>
        </w:rPr>
      </w:pPr>
      <w:r>
        <w:rPr>
          <w:rFonts w:ascii="Times New Roman" w:cs="Times New Roman" w:eastAsia="Times New Roman" w:hAnsi="Times New Roman"/>
          <w:sz w:val="16"/>
          <w:szCs w:val="16"/>
          <w:color w:val="auto"/>
        </w:rPr>
        <w:t>The Company believes its LEU segment backlog is a source of stability for our liquidity position. Subject to market conditions, we see the potential for growing uncommitted demand for LEU during the next few years with accelerated open demand in 2025 and beyond.</w:t>
      </w:r>
    </w:p>
    <w:p>
      <w:pPr>
        <w:spacing w:after="0" w:line="144" w:lineRule="exact"/>
        <w:rPr>
          <w:sz w:val="20"/>
          <w:szCs w:val="20"/>
          <w:color w:val="auto"/>
        </w:rPr>
      </w:pPr>
    </w:p>
    <w:p>
      <w:pPr>
        <w:jc w:val="both"/>
        <w:ind w:right="140" w:firstLine="191"/>
        <w:spacing w:after="0" w:line="261" w:lineRule="auto"/>
        <w:rPr>
          <w:sz w:val="20"/>
          <w:szCs w:val="20"/>
          <w:color w:val="auto"/>
        </w:rPr>
      </w:pPr>
      <w:r>
        <w:rPr>
          <w:rFonts w:ascii="Times New Roman" w:cs="Times New Roman" w:eastAsia="Times New Roman" w:hAnsi="Times New Roman"/>
          <w:sz w:val="16"/>
          <w:szCs w:val="16"/>
          <w:color w:val="auto"/>
        </w:rPr>
        <w:t>Cash resources and net sales proceeds from our LEU segment fund technology costs that are outside of our customer contracts in the Technical Solutions segment and general corporate expenses, including cash interest payments on our debt. We believe our investment in advanced U.S. uranium enrichment technology will position the Company to meet the needs of our customers as they deploy advanced reactors and require next generation fuels.</w:t>
      </w:r>
    </w:p>
    <w:p>
      <w:pPr>
        <w:spacing w:after="0" w:line="153"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On November 10, 2022, the Company was awarded the HALEU Operation Contract. The HALEU Operation Contract provides for a 50/50 cost-share contract for Phase 1 of the base contract to complete the cascade, begin operations and produce the initial, small quantity demonstration HALEU. Phase 2 includes continued operations and maintenance on a cost-plus-incentive-fee basis. Finally, the HALEU Operation Contract includes options for the government to unilaterally extend performance for up to an additional nine years comprised of three options of three years each, also on a cost-plus-incentive-fee basis. The Company also is performing additional work on infrastructure and facility repairs and costs associated with 5B Cylinder refurbishment under the DOE’s technical direction. The Company’s goal is to modularly scale up the facility as demand for HALEU grows in the commercial and government sectors, subject to the availability of funding and/or contracts to purchase the output of the plant.</w:t>
      </w:r>
    </w:p>
    <w:p>
      <w:pPr>
        <w:spacing w:after="0" w:line="175"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6"/>
          <w:szCs w:val="16"/>
          <w:color w:val="auto"/>
        </w:rPr>
        <w:t xml:space="preserve">Although the Company believes demand for HALEU will emerge over the next several years, there are no guarantees about whether or when government or commercial demand for HALEU will materialize, and there are a number of technical, regulatory, and economic hurdles that must be overcome for these fuels and the reactors that will use these fuels to come to market. For further discussion,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in our Annual Report on Form 10-K for the year ended December 31, 2023.</w:t>
      </w:r>
    </w:p>
    <w:p>
      <w:pPr>
        <w:spacing w:after="0" w:line="159" w:lineRule="exact"/>
        <w:rPr>
          <w:sz w:val="20"/>
          <w:szCs w:val="20"/>
          <w:color w:val="auto"/>
        </w:rPr>
      </w:pPr>
    </w:p>
    <w:p>
      <w:pPr>
        <w:ind w:right="220" w:firstLine="191"/>
        <w:spacing w:after="0" w:line="273" w:lineRule="auto"/>
        <w:rPr>
          <w:sz w:val="20"/>
          <w:szCs w:val="20"/>
          <w:color w:val="auto"/>
        </w:rPr>
      </w:pPr>
      <w:r>
        <w:rPr>
          <w:rFonts w:ascii="Times New Roman" w:cs="Times New Roman" w:eastAsia="Times New Roman" w:hAnsi="Times New Roman"/>
          <w:sz w:val="16"/>
          <w:szCs w:val="16"/>
          <w:color w:val="auto"/>
        </w:rPr>
        <w:t>If funding by the U.S. government of gas centrifuge technology is reduced or discontinued, or we are not awarded a future DOE contract to continue to operate the cascade or expand it, such actions may have a material adverse impact on our ability to deploy the American Centrifuge technology and on our liquidity.</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Capital expenditures of approximately $22.5 million are anticipated over the next 12 months.</w:t>
      </w:r>
    </w:p>
    <w:p>
      <w:pPr>
        <w:spacing w:after="0" w:line="187" w:lineRule="exact"/>
        <w:rPr>
          <w:sz w:val="20"/>
          <w:szCs w:val="20"/>
          <w:color w:val="auto"/>
        </w:rPr>
      </w:pPr>
    </w:p>
    <w:p>
      <w:pPr>
        <w:ind w:right="20" w:firstLine="191"/>
        <w:spacing w:after="0" w:line="251" w:lineRule="auto"/>
        <w:rPr>
          <w:sz w:val="20"/>
          <w:szCs w:val="20"/>
          <w:color w:val="auto"/>
        </w:rPr>
      </w:pPr>
      <w:r>
        <w:rPr>
          <w:rFonts w:ascii="Times New Roman" w:cs="Times New Roman" w:eastAsia="Times New Roman" w:hAnsi="Times New Roman"/>
          <w:sz w:val="16"/>
          <w:szCs w:val="16"/>
          <w:color w:val="auto"/>
        </w:rPr>
        <w:t xml:space="preserve">On October 12, 2023, the Company entered into an agreement with an insurer (“Insurer”) for one of its defined benefit plans to purchase a group annuity contract and transferred approximately $186.5 million of its pension plan obligations to the insurer. The purchase of the group annuity contract was funded directly by the assets of the pension plan of approximately $171.4 million. The purchase resulted in a transfer of benefit administrative responsibilities for approximately 1,400 beneficiaries effective December 1, 2023. The Company recorded income related to the pension settlement in the fourth quarter of $28.6 million, which was included in </w:t>
      </w:r>
      <w:r>
        <w:rPr>
          <w:rFonts w:ascii="Times New Roman" w:cs="Times New Roman" w:eastAsia="Times New Roman" w:hAnsi="Times New Roman"/>
          <w:sz w:val="16"/>
          <w:szCs w:val="16"/>
          <w:i w:val="1"/>
          <w:iCs w:val="1"/>
          <w:color w:val="auto"/>
        </w:rPr>
        <w:t>Nonoperating Components of Net Periodic Benefit Income</w:t>
      </w:r>
      <w:r>
        <w:rPr>
          <w:rFonts w:ascii="Times New Roman" w:cs="Times New Roman" w:eastAsia="Times New Roman" w:hAnsi="Times New Roman"/>
          <w:sz w:val="16"/>
          <w:szCs w:val="16"/>
          <w:color w:val="auto"/>
        </w:rPr>
        <w:t xml:space="preserve"> in its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49" w:name="page50"/>
    <w:bookmarkEnd w:id="49"/>
    <w:p>
      <w:pPr>
        <w:ind w:right="220" w:firstLine="191"/>
        <w:spacing w:after="0" w:line="252" w:lineRule="auto"/>
        <w:rPr>
          <w:sz w:val="20"/>
          <w:szCs w:val="20"/>
          <w:color w:val="auto"/>
        </w:rPr>
      </w:pPr>
      <w:r>
        <w:rPr>
          <w:rFonts w:ascii="Times New Roman" w:cs="Times New Roman" w:eastAsia="Times New Roman" w:hAnsi="Times New Roman"/>
          <w:sz w:val="16"/>
          <w:szCs w:val="16"/>
          <w:color w:val="auto"/>
        </w:rPr>
        <w:t>On May 28, 2024, the Company entered into an agreement with an insurer (“Insurer”) for two of its defined benefit plans to purchase a group annuity contract and transferred approximately $234 million of its pension plan obligations to the insurer. The purchase of the group annuity contract was funded directly by the assets of the pension plan of approximately $224 million. The purchase resulted in a transfer of future benefit obligations and administrative responsibilities for more than 1,000 beneficiaries effective September 1, 2024.</w:t>
      </w:r>
    </w:p>
    <w:p>
      <w:pPr>
        <w:spacing w:after="0" w:line="161"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6"/>
          <w:szCs w:val="16"/>
          <w:color w:val="auto"/>
        </w:rPr>
        <w:t>During the third quarter of 2024, the Company transferred $15.4 million of pension plan assets and the related obligations under two participating group annuity contracts to two non-participating group additional agreements for two of its defined benefit plans. The purchase resulted in a transfer of future benefit obligations and administrative responsibilities for more than 400 beneficiaries effective October 1, 2024.</w:t>
      </w:r>
    </w:p>
    <w:p>
      <w:pPr>
        <w:spacing w:after="0" w:line="151" w:lineRule="exact"/>
        <w:rPr>
          <w:sz w:val="20"/>
          <w:szCs w:val="20"/>
          <w:color w:val="auto"/>
        </w:rPr>
      </w:pPr>
    </w:p>
    <w:p>
      <w:pPr>
        <w:ind w:right="260" w:firstLine="191"/>
        <w:spacing w:after="0" w:line="275" w:lineRule="auto"/>
        <w:rPr>
          <w:sz w:val="20"/>
          <w:szCs w:val="20"/>
          <w:color w:val="auto"/>
        </w:rPr>
      </w:pPr>
      <w:r>
        <w:rPr>
          <w:rFonts w:ascii="Times New Roman" w:cs="Times New Roman" w:eastAsia="Times New Roman" w:hAnsi="Times New Roman"/>
          <w:sz w:val="16"/>
          <w:szCs w:val="16"/>
          <w:color w:val="auto"/>
        </w:rPr>
        <w:t xml:space="preserve">The Company recognized income related to these events of $0.2 million $16.8 million in the three and nine months ended September 30, 2024, respectively, in </w:t>
      </w:r>
      <w:r>
        <w:rPr>
          <w:rFonts w:ascii="Times New Roman" w:cs="Times New Roman" w:eastAsia="Times New Roman" w:hAnsi="Times New Roman"/>
          <w:sz w:val="16"/>
          <w:szCs w:val="16"/>
          <w:i w:val="1"/>
          <w:iCs w:val="1"/>
          <w:color w:val="auto"/>
        </w:rPr>
        <w:t>Nonoperating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Components of Net Periodic Benefit Loss (Income) </w:t>
      </w:r>
      <w:r>
        <w:rPr>
          <w:rFonts w:ascii="Times New Roman" w:cs="Times New Roman" w:eastAsia="Times New Roman" w:hAnsi="Times New Roman"/>
          <w:sz w:val="16"/>
          <w:szCs w:val="16"/>
          <w:color w:val="auto"/>
        </w:rPr>
        <w:t>in the Consolidated Statements of Operations.</w:t>
      </w:r>
    </w:p>
    <w:p>
      <w:pPr>
        <w:spacing w:after="0" w:line="143" w:lineRule="exact"/>
        <w:rPr>
          <w:sz w:val="20"/>
          <w:szCs w:val="20"/>
          <w:color w:val="auto"/>
        </w:rPr>
      </w:pPr>
    </w:p>
    <w:p>
      <w:pPr>
        <w:ind w:right="200" w:firstLine="191"/>
        <w:spacing w:after="0" w:line="252" w:lineRule="auto"/>
        <w:rPr>
          <w:sz w:val="20"/>
          <w:szCs w:val="20"/>
          <w:color w:val="auto"/>
        </w:rPr>
      </w:pPr>
      <w:r>
        <w:rPr>
          <w:rFonts w:ascii="Times New Roman" w:cs="Times New Roman" w:eastAsia="Times New Roman" w:hAnsi="Times New Roman"/>
          <w:sz w:val="16"/>
          <w:szCs w:val="16"/>
          <w:color w:val="auto"/>
        </w:rPr>
        <w:t>We are also actively considering and expect to consider potential strategic transactions from time to time, which at any given time may be in various stages of discussion, diligence, or negotiation. These could involve, without limitation, acquisitions and/or dispositions of businesses or assets, joint ventures or investments in businesses, products or technologies, or changes to our capital structure. In connection with any such transaction, we would seek to satisfy these needs through a combination of working capital, cash generated from operations, or additional debt or equity financing.</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change in cash, cash equivalents and restricted cash from our Consolidated Statements of Cash Flows are as follows on a summarized basis (in millions):</w:t>
      </w:r>
    </w:p>
    <w:p>
      <w:pPr>
        <w:spacing w:after="0" w:line="26"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spacing w:after="0" w:line="6"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80" w:type="dxa"/>
            <w:vAlign w:val="bottom"/>
            <w:tcBorders>
              <w:bottom w:val="single" w:sz="8" w:color="auto"/>
            </w:tcBorders>
          </w:tcPr>
          <w:p>
            <w:pPr>
              <w:spacing w:after="0"/>
              <w:rPr>
                <w:sz w:val="14"/>
                <w:szCs w:val="14"/>
                <w:color w:val="auto"/>
              </w:rPr>
            </w:pPr>
          </w:p>
        </w:tc>
      </w:tr>
      <w:tr>
        <w:trPr>
          <w:trHeight w:val="170"/>
        </w:trPr>
        <w:tc>
          <w:tcPr>
            <w:tcW w:w="69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operating activities</w:t>
            </w: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77"/>
        </w:trPr>
        <w:tc>
          <w:tcPr>
            <w:tcW w:w="6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8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177"/>
        </w:trPr>
        <w:tc>
          <w:tcPr>
            <w:tcW w:w="6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98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99"/>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Increase (decrease) in cash, cash equivalents and restricted cash</w:t>
            </w:r>
          </w:p>
        </w:tc>
        <w:tc>
          <w:tcPr>
            <w:tcW w:w="98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200" w:lineRule="exact"/>
        <w:rPr>
          <w:sz w:val="20"/>
          <w:szCs w:val="20"/>
          <w:color w:val="auto"/>
        </w:rPr>
      </w:pPr>
    </w:p>
    <w:p>
      <w:pPr>
        <w:ind w:right="140" w:firstLine="191"/>
        <w:spacing w:after="0" w:line="247" w:lineRule="auto"/>
        <w:rPr>
          <w:sz w:val="20"/>
          <w:szCs w:val="20"/>
          <w:color w:val="auto"/>
        </w:rPr>
      </w:pPr>
      <w:r>
        <w:rPr>
          <w:rFonts w:ascii="Times New Roman" w:cs="Times New Roman" w:eastAsia="Times New Roman" w:hAnsi="Times New Roman"/>
          <w:sz w:val="16"/>
          <w:szCs w:val="16"/>
          <w:color w:val="auto"/>
        </w:rPr>
        <w:t>For the nine months ended September 30, 2024, net cash used in operating activities was $20.9 million. The net decrease was primarily due to approximately $262 million of disbursements for operations, of which approximately $203 million relates to payments for LEU inventory deliveries and cash outflows for the Technical Solutions segment, with the remaining disbursements being for corporate administration, benefits claims, and advanced technology costs. These cash outflows were partially offset by approximately $241 million in cash collections, the majority of which is customer collections.</w:t>
      </w:r>
    </w:p>
    <w:p>
      <w:pPr>
        <w:spacing w:after="0" w:line="176" w:lineRule="exact"/>
        <w:rPr>
          <w:sz w:val="20"/>
          <w:szCs w:val="20"/>
          <w:color w:val="auto"/>
        </w:rPr>
      </w:pPr>
    </w:p>
    <w:p>
      <w:pPr>
        <w:ind w:right="140" w:firstLine="191"/>
        <w:spacing w:after="0" w:line="252" w:lineRule="auto"/>
        <w:rPr>
          <w:sz w:val="20"/>
          <w:szCs w:val="20"/>
          <w:color w:val="auto"/>
        </w:rPr>
      </w:pPr>
      <w:r>
        <w:rPr>
          <w:rFonts w:ascii="Times New Roman" w:cs="Times New Roman" w:eastAsia="Times New Roman" w:hAnsi="Times New Roman"/>
          <w:sz w:val="16"/>
          <w:szCs w:val="16"/>
          <w:color w:val="auto"/>
        </w:rPr>
        <w:t>For the nine months ended September 30, 2023, net cash used in operating activities was $8.8 million. The net decrease was primarily due to approximately $251 million of disbursements for operations, of which approximately $200 million relates to payments for LEU inventory deliveries and cash outflows for the Technical Solutions segment, with the remaining disbursements being for corporate administration, benefits claims, and advanced technology costs. These cash outflows were partially offset by approximately $242 million in cash collected from customers, investment income, and reimbursements for postretirement health and life benefits paid by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50" w:name="page51"/>
    <w:bookmarkEnd w:id="50"/>
    <w:p>
      <w:pPr>
        <w:ind w:left="2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Capital expenditures were $3.4 million and $1.1 million for the nine months ended September 30, 2024 and 2023, respectively.</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200" w:lineRule="exact"/>
        <w:rPr>
          <w:sz w:val="20"/>
          <w:szCs w:val="20"/>
          <w:color w:val="auto"/>
        </w:rPr>
      </w:pPr>
    </w:p>
    <w:p>
      <w:pPr>
        <w:ind w:right="20" w:firstLine="191"/>
        <w:spacing w:after="0" w:line="252" w:lineRule="auto"/>
        <w:rPr>
          <w:sz w:val="20"/>
          <w:szCs w:val="20"/>
          <w:color w:val="auto"/>
        </w:rPr>
      </w:pPr>
      <w:r>
        <w:rPr>
          <w:rFonts w:ascii="Times New Roman" w:cs="Times New Roman" w:eastAsia="Times New Roman" w:hAnsi="Times New Roman"/>
          <w:sz w:val="16"/>
          <w:szCs w:val="16"/>
          <w:color w:val="auto"/>
        </w:rPr>
        <w:t>For the nine months ended September 30, 2024 and 2023, cash of $23.4 million and $23.2 million, respectively, was provided from the net proceeds related to the issuance of 567,491 and 722,568 shares, respectively, of Class A Common Stock under ATM offerings. For both the nine months ended September 30, 2024 and 2023, payments of $6.1 million of interest classified as debt are classified as a financing activity. Refer to Note 6</w:t>
      </w:r>
      <w:r>
        <w:rPr>
          <w:rFonts w:ascii="Times New Roman" w:cs="Times New Roman" w:eastAsia="Times New Roman" w:hAnsi="Times New Roman"/>
          <w:sz w:val="16"/>
          <w:szCs w:val="16"/>
          <w:i w:val="1"/>
          <w:iCs w:val="1"/>
          <w:color w:val="auto"/>
        </w:rPr>
        <w:t>, Debt,</w:t>
      </w:r>
      <w:r>
        <w:rPr>
          <w:rFonts w:ascii="Times New Roman" w:cs="Times New Roman" w:eastAsia="Times New Roman" w:hAnsi="Times New Roman"/>
          <w:sz w:val="16"/>
          <w:szCs w:val="16"/>
          <w:color w:val="auto"/>
        </w:rPr>
        <w:t xml:space="preserve"> of the Consolidated Financial Statements regarding the accounting for the 8.25% Notes maturing in February 2027.</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Working Capital</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summarizes the Company’s working capital (in millions):</w:t>
      </w:r>
    </w:p>
    <w:p>
      <w:pPr>
        <w:spacing w:after="0" w:line="89" w:lineRule="exact"/>
        <w:rPr>
          <w:sz w:val="20"/>
          <w:szCs w:val="20"/>
          <w:color w:val="auto"/>
        </w:rPr>
      </w:pPr>
    </w:p>
    <w:tbl>
      <w:tblPr>
        <w:tblLayout w:type="fixed"/>
        <w:tblInd w:w="84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2"/>
                <w:szCs w:val="12"/>
                <w:color w:val="auto"/>
              </w:rPr>
            </w:pPr>
          </w:p>
        </w:tc>
        <w:tc>
          <w:tcPr>
            <w:tcW w:w="124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9"/>
        </w:trPr>
        <w:tc>
          <w:tcPr>
            <w:tcW w:w="6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r>
      <w:tr>
        <w:trPr>
          <w:trHeight w:val="177"/>
        </w:trPr>
        <w:tc>
          <w:tcPr>
            <w:tcW w:w="6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w:t>
            </w:r>
          </w:p>
        </w:tc>
      </w:tr>
      <w:tr>
        <w:trPr>
          <w:trHeight w:val="184"/>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 net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222.1</w:t>
            </w:r>
          </w:p>
        </w:tc>
      </w:tr>
      <w:tr>
        <w:trPr>
          <w:trHeight w:val="177"/>
        </w:trPr>
        <w:tc>
          <w:tcPr>
            <w:tcW w:w="6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Current debt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84"/>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revenue and advances from customers, net of deferred costs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w:t>
            </w:r>
          </w:p>
        </w:tc>
      </w:tr>
      <w:tr>
        <w:trPr>
          <w:trHeight w:val="177"/>
        </w:trPr>
        <w:tc>
          <w:tcPr>
            <w:tcW w:w="6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current assets and liabilities, net</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(87.3)</w:t>
            </w:r>
          </w:p>
        </w:tc>
      </w:tr>
      <w:tr>
        <w:trPr>
          <w:trHeight w:val="199"/>
        </w:trPr>
        <w:tc>
          <w:tcPr>
            <w:tcW w:w="6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Working capital</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214.3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We are managing our working capital to seek to improve the long-term value of our LEU and Technical Solutions businesses and are planning to continue funding the Company’s qualified pension plans because we believe these uses of working capital are in the best interest of all stakeholders. We expect that any other uses of working capital will be undertaken in light of these strategic priorities and will be based on the Company’s determination as to the relative strength of its operating performance and prospects, financial position, and expected liquidity requirements. In addition, we expect that any such other uses of working capital will be subject to compliance with contractual restrictions to which the Company and its subsidiaries are subject, including the terms and conditions of our 8.25% Notes. We continually evaluate alternatives to manage our capital structure and may opportunistically repurchase, exchange, or redeem Company securities from time to time.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1" w:name="page52"/>
    <w:bookmarkEnd w:id="51"/>
    <w:p>
      <w:pPr>
        <w:ind w:left="200"/>
        <w:spacing w:after="0"/>
        <w:rPr>
          <w:sz w:val="20"/>
          <w:szCs w:val="20"/>
          <w:color w:val="auto"/>
        </w:rPr>
      </w:pPr>
      <w:r>
        <w:rPr>
          <w:rFonts w:ascii="Times New Roman" w:cs="Times New Roman" w:eastAsia="Times New Roman" w:hAnsi="Times New Roman"/>
          <w:sz w:val="16"/>
          <w:szCs w:val="16"/>
          <w:i w:val="1"/>
          <w:iCs w:val="1"/>
          <w:color w:val="auto"/>
        </w:rPr>
        <w:t>2023 Shelf Registration</w:t>
      </w:r>
    </w:p>
    <w:p>
      <w:pPr>
        <w:spacing w:after="0" w:line="200" w:lineRule="exact"/>
        <w:rPr>
          <w:sz w:val="20"/>
          <w:szCs w:val="20"/>
          <w:color w:val="auto"/>
        </w:rPr>
      </w:pPr>
    </w:p>
    <w:p>
      <w:pPr>
        <w:ind w:right="140" w:firstLine="191"/>
        <w:spacing w:after="0" w:line="254" w:lineRule="auto"/>
        <w:rPr>
          <w:sz w:val="20"/>
          <w:szCs w:val="20"/>
          <w:color w:val="auto"/>
        </w:rPr>
      </w:pPr>
      <w:r>
        <w:rPr>
          <w:rFonts w:ascii="Times New Roman" w:cs="Times New Roman" w:eastAsia="Times New Roman" w:hAnsi="Times New Roman"/>
          <w:sz w:val="16"/>
          <w:szCs w:val="16"/>
          <w:color w:val="auto"/>
        </w:rPr>
        <w:t>The Company filed a shelf registration statement on Form S-3 (File No. 333-272984) with the SEC on June 28, 2023, which became effective on July 10, 2023. Pursuant to this shelf registration statement, the Company may offer and sell up to $200 million in securities, in aggregate. The Company retains broad discretion over the use of the net proceeds from the sale of the securities offered.</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Common Stock Issuance</w:t>
      </w:r>
    </w:p>
    <w:p>
      <w:pPr>
        <w:spacing w:after="0" w:line="200"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On February 9, 2024, the Company entered into an At Market Issuance Sales Agreement with B. Riley Securities, Inc., Lake Street Capital Markets, LLC and Roth Capital Partners, LLC (collectively, the “Agents”), relating to the ATM offering of shares of the Company’s Class A Common Stock. Pursuant to this sales agreement, the Company sold an aggregate of 115,661 and 567,491 shares of its Class A Common Stock at the market price in the three and nine months ended September 30, 2024, respectively, for a total of $4.6 million and $24.5 million, respectively. After expenses and commissions paid to the Agents, the Company’s proceeds totaled $4.5 million and $23.8 million in the three and nine months ended September 30, 2024, respectively. Additionally, the Company recorded direct costs of less than $0.1 million and $0.1 million in the three and nine months ended September 30, 2024, respectively, related to the issuance. The shares of Class A Common Stock were issued pursuant to the Company’s shelf registration statement on Form S-3 (File No. 333-272984), which became effective on July 10, 2023, and a prospectus supplement dated February 9, 2024.</w:t>
      </w:r>
    </w:p>
    <w:p>
      <w:pPr>
        <w:spacing w:after="0" w:line="165"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Pursuant to a separate sales agreement with its Agents, the Company sold, through its ATM offering at the market price, an aggregate of 0 and 722,568 shares of its Class A Common Stock in the three and nine months ended September 30, 2023, respectively, for a total of $0 and $24.4 million, respectively. After expenses and commissions paid to the Agents, the Company’s proceeds totaled $0 and $23.4 million in the three and nine months ended September 30, 2023, respectively. Additionally, the Company recorded direct costs of $0 and $0.2 million in the three and nine months ended September 30, 2023, respectively, related to the issuance. The shares of Class A Common Stock were issued pursuant to the Company’s shelf registration statement on Form S-3 (File No. 333-239242), which became effective on August 5, 2020, and two prospectus supplements dated December 31, 2020 and December 5, 2022, respectively.</w:t>
      </w:r>
    </w:p>
    <w:p>
      <w:pPr>
        <w:spacing w:after="0" w:line="175" w:lineRule="exact"/>
        <w:rPr>
          <w:sz w:val="20"/>
          <w:szCs w:val="20"/>
          <w:color w:val="auto"/>
        </w:rPr>
      </w:pPr>
    </w:p>
    <w:p>
      <w:pPr>
        <w:ind w:right="80" w:firstLine="191"/>
        <w:spacing w:after="0" w:line="307" w:lineRule="auto"/>
        <w:rPr>
          <w:sz w:val="20"/>
          <w:szCs w:val="20"/>
          <w:color w:val="auto"/>
        </w:rPr>
      </w:pPr>
      <w:r>
        <w:rPr>
          <w:rFonts w:ascii="Times New Roman" w:cs="Times New Roman" w:eastAsia="Times New Roman" w:hAnsi="Times New Roman"/>
          <w:sz w:val="14"/>
          <w:szCs w:val="14"/>
          <w:color w:val="auto"/>
        </w:rPr>
        <w:t>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repayment of indebtedness, potential acquisitions and other business opportunities. Pending any specific application, the Company may initially invest funds in short-term marketable securities or apply them to the reduction of indebtedness.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Rights Agreement</w:t>
      </w:r>
    </w:p>
    <w:p>
      <w:pPr>
        <w:spacing w:after="0" w:line="200" w:lineRule="exact"/>
        <w:rPr>
          <w:sz w:val="20"/>
          <w:szCs w:val="20"/>
          <w:color w:val="auto"/>
        </w:rPr>
      </w:pPr>
    </w:p>
    <w:p>
      <w:pPr>
        <w:ind w:right="20" w:firstLine="191"/>
        <w:spacing w:after="0" w:line="300" w:lineRule="auto"/>
        <w:rPr>
          <w:sz w:val="20"/>
          <w:szCs w:val="20"/>
          <w:color w:val="auto"/>
        </w:rPr>
      </w:pPr>
      <w:r>
        <w:rPr>
          <w:rFonts w:ascii="Times New Roman" w:cs="Times New Roman" w:eastAsia="Times New Roman" w:hAnsi="Times New Roman"/>
          <w:sz w:val="14"/>
          <w:szCs w:val="14"/>
          <w:color w:val="auto"/>
        </w:rPr>
        <w:t>On May 28, 2024, the Company entered into a Sixth Amendment to the Section 382 Rights Agreement, which amends the Rights Agreement, dated as of April 6, 2016 , by and among the Company, and Computershare Trust Company, N.A. and Computershare Inc., as rights agent, as previously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and (v) the Fifth Amendment to the Rights Agreement dated as of June 20, 2023.</w:t>
      </w:r>
    </w:p>
    <w:p>
      <w:pPr>
        <w:spacing w:after="0" w:line="129" w:lineRule="exact"/>
        <w:rPr>
          <w:sz w:val="20"/>
          <w:szCs w:val="20"/>
          <w:color w:val="auto"/>
        </w:rPr>
      </w:pPr>
    </w:p>
    <w:p>
      <w:pPr>
        <w:ind w:firstLine="191"/>
        <w:spacing w:after="0" w:line="261" w:lineRule="auto"/>
        <w:rPr>
          <w:sz w:val="20"/>
          <w:szCs w:val="20"/>
          <w:color w:val="auto"/>
        </w:rPr>
      </w:pPr>
      <w:r>
        <w:rPr>
          <w:rFonts w:ascii="Times New Roman" w:cs="Times New Roman" w:eastAsia="Times New Roman" w:hAnsi="Times New Roman"/>
          <w:sz w:val="16"/>
          <w:szCs w:val="16"/>
          <w:color w:val="auto"/>
        </w:rPr>
        <w:t>The Fifth Amendment to the Rights Agreement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2" w:name="page53"/>
    <w:bookmarkEnd w:id="52"/>
    <w:p>
      <w:pPr>
        <w:ind w:right="80" w:firstLine="191"/>
        <w:spacing w:after="0" w:line="273" w:lineRule="auto"/>
        <w:rPr>
          <w:sz w:val="20"/>
          <w:szCs w:val="20"/>
          <w:color w:val="auto"/>
        </w:rPr>
      </w:pPr>
      <w:r>
        <w:rPr>
          <w:rFonts w:ascii="Times New Roman" w:cs="Times New Roman" w:eastAsia="Times New Roman" w:hAnsi="Times New Roman"/>
          <w:sz w:val="16"/>
          <w:szCs w:val="16"/>
          <w:color w:val="auto"/>
        </w:rPr>
        <w:t>The Fifth Amendment was not adopted as a result of, or in response to, any effort to acquire control of the Company. The Fifth Amendment was adopted in order to preserve for the Company’s stockholders the long-term value of the Company’s NOL carryforwards for United States federal income tax purposes and other tax benefits.</w:t>
      </w:r>
    </w:p>
    <w:p>
      <w:pPr>
        <w:spacing w:after="0" w:line="144" w:lineRule="exact"/>
        <w:rPr>
          <w:sz w:val="20"/>
          <w:szCs w:val="20"/>
          <w:color w:val="auto"/>
        </w:rPr>
      </w:pPr>
    </w:p>
    <w:p>
      <w:pPr>
        <w:ind w:right="260" w:firstLine="191"/>
        <w:spacing w:after="0" w:line="273" w:lineRule="auto"/>
        <w:rPr>
          <w:sz w:val="20"/>
          <w:szCs w:val="20"/>
          <w:color w:val="auto"/>
        </w:rPr>
      </w:pPr>
      <w:r>
        <w:rPr>
          <w:rFonts w:ascii="Times New Roman" w:cs="Times New Roman" w:eastAsia="Times New Roman" w:hAnsi="Times New Roman"/>
          <w:sz w:val="16"/>
          <w:szCs w:val="16"/>
          <w:color w:val="auto"/>
        </w:rPr>
        <w:t>The Sixth Amendment was approved by the Board on May 28, 2024 and makes clarifying changes relating to the definition of “Beneficial Owner”, “beneficially owned” and “Beneficial Ownership” contained in the Rights Agreement.</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Capital Structure and Financial Resources</w:t>
      </w:r>
    </w:p>
    <w:p>
      <w:pPr>
        <w:spacing w:after="0" w:line="200" w:lineRule="exact"/>
        <w:rPr>
          <w:sz w:val="20"/>
          <w:szCs w:val="20"/>
          <w:color w:val="auto"/>
        </w:rPr>
      </w:pPr>
    </w:p>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Interest on the 8.25% Notes is payable semi-annually in arrears as of February 28 and August 31 based on a 360-day year consisting of twelve 30-day months. The 8.25% Notes are guaranteed on a subordinated and limited basis by, and secured by substantially all assets of, Enrichment Corp. The 8.25% Notes mature on February 28, 2027. Additional terms and conditions of the 8.25% Notes are described in Note 6</w:t>
      </w:r>
      <w:r>
        <w:rPr>
          <w:rFonts w:ascii="Times New Roman" w:cs="Times New Roman" w:eastAsia="Times New Roman" w:hAnsi="Times New Roman"/>
          <w:sz w:val="16"/>
          <w:szCs w:val="16"/>
          <w:i w:val="1"/>
          <w:iCs w:val="1"/>
          <w:color w:val="auto"/>
        </w:rPr>
        <w:t>, Debt,</w:t>
      </w:r>
      <w:r>
        <w:rPr>
          <w:rFonts w:ascii="Times New Roman" w:cs="Times New Roman" w:eastAsia="Times New Roman" w:hAnsi="Times New Roman"/>
          <w:sz w:val="16"/>
          <w:szCs w:val="16"/>
          <w:color w:val="auto"/>
        </w:rPr>
        <w:t xml:space="preserve"> of the Consolidated Financial Statements and Note 8</w:t>
      </w:r>
      <w:r>
        <w:rPr>
          <w:rFonts w:ascii="Times New Roman" w:cs="Times New Roman" w:eastAsia="Times New Roman" w:hAnsi="Times New Roman"/>
          <w:sz w:val="16"/>
          <w:szCs w:val="16"/>
          <w:i w:val="1"/>
          <w:iCs w:val="1"/>
          <w:color w:val="auto"/>
        </w:rPr>
        <w:t>, Debt,</w:t>
      </w:r>
      <w:r>
        <w:rPr>
          <w:rFonts w:ascii="Times New Roman" w:cs="Times New Roman" w:eastAsia="Times New Roman" w:hAnsi="Times New Roman"/>
          <w:sz w:val="16"/>
          <w:szCs w:val="16"/>
          <w:color w:val="auto"/>
        </w:rPr>
        <w:t xml:space="preserve"> of the Consolidated Financial Statements in the Company’s Annual Report on Form 10-K for the year ended December 31, 2023.</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Contractual Commitments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have been no material changes to our contractual commitments from those discussed in our Annual Report on Form 10-K for the year ended December 31, 2023.</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DOE Technology License</w:t>
      </w:r>
    </w:p>
    <w:p>
      <w:pPr>
        <w:spacing w:after="0" w:line="189" w:lineRule="exact"/>
        <w:rPr>
          <w:sz w:val="20"/>
          <w:szCs w:val="20"/>
          <w:color w:val="auto"/>
        </w:rPr>
      </w:pPr>
    </w:p>
    <w:p>
      <w:pPr>
        <w:ind w:firstLine="191"/>
        <w:spacing w:after="0" w:line="251" w:lineRule="auto"/>
        <w:rPr>
          <w:sz w:val="20"/>
          <w:szCs w:val="20"/>
          <w:color w:val="auto"/>
        </w:rPr>
      </w:pPr>
      <w:r>
        <w:rPr>
          <w:rFonts w:ascii="Times New Roman" w:cs="Times New Roman" w:eastAsia="Times New Roman" w:hAnsi="Times New Roman"/>
          <w:sz w:val="16"/>
          <w:szCs w:val="16"/>
          <w:color w:val="auto"/>
        </w:rPr>
        <w:t>We have a non-exclusive license in DOE inventions that pertain to enriching uranium using gas centrifuge technology. The license agreement with DOE provides for annual royalty payments based on a varying percentage (1% up to 2%) of our annual revenues from sales of the SWU component of LEU produced by us using DOE centrifuge technology. There is a minimum annual royalty payment of $100,000 and the maximum cumulative royalty over the life of the license is $100 million. There is currently no commercial enrichment facility producing LEU using DOE centrifuge technology. We are continuing to advance our U.S. centrifuge technology that has evolved from DOE inventions at specialized facilities in Oak Ridge, Tennessee with a view to deploying a commercial enrichment facility over the long term.</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Off-Balance Sheet Arrangements</w:t>
      </w:r>
    </w:p>
    <w:p>
      <w:pPr>
        <w:spacing w:after="0" w:line="200" w:lineRule="exact"/>
        <w:rPr>
          <w:sz w:val="20"/>
          <w:szCs w:val="20"/>
          <w:color w:val="auto"/>
        </w:rPr>
      </w:pPr>
    </w:p>
    <w:p>
      <w:pPr>
        <w:ind w:right="420" w:firstLine="191"/>
        <w:spacing w:after="0" w:line="259" w:lineRule="auto"/>
        <w:rPr>
          <w:sz w:val="20"/>
          <w:szCs w:val="20"/>
          <w:color w:val="auto"/>
        </w:rPr>
      </w:pPr>
      <w:r>
        <w:rPr>
          <w:rFonts w:ascii="Times New Roman" w:cs="Times New Roman" w:eastAsia="Times New Roman" w:hAnsi="Times New Roman"/>
          <w:sz w:val="16"/>
          <w:szCs w:val="16"/>
          <w:color w:val="auto"/>
        </w:rPr>
        <w:t>Other than our SWU purchase commitments and the license agreement with DOE relating to the American Centrifuge technology, there were no material off-balance sheet arrangements at September 30,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87" w:lineRule="exact"/>
        <w:rPr>
          <w:sz w:val="20"/>
          <w:szCs w:val="20"/>
          <w:color w:val="auto"/>
        </w:rPr>
      </w:pPr>
    </w:p>
    <w:p>
      <w:pPr>
        <w:ind w:right="440" w:firstLine="191"/>
        <w:spacing w:after="0" w:line="275" w:lineRule="auto"/>
        <w:rPr>
          <w:sz w:val="20"/>
          <w:szCs w:val="20"/>
          <w:color w:val="auto"/>
        </w:rPr>
      </w:pPr>
      <w:r>
        <w:rPr>
          <w:rFonts w:ascii="Times New Roman" w:cs="Times New Roman" w:eastAsia="Times New Roman" w:hAnsi="Times New Roman"/>
          <w:sz w:val="16"/>
          <w:szCs w:val="16"/>
          <w:color w:val="auto"/>
        </w:rPr>
        <w:t xml:space="preserve">There have been no significant changes to the critical accounting estimates disclosed in Part II, Item 7, </w:t>
      </w:r>
      <w:r>
        <w:rPr>
          <w:rFonts w:ascii="Times New Roman" w:cs="Times New Roman" w:eastAsia="Times New Roman" w:hAnsi="Times New Roman"/>
          <w:sz w:val="16"/>
          <w:szCs w:val="16"/>
          <w:i w:val="1"/>
          <w:iCs w:val="1"/>
          <w:color w:val="auto"/>
        </w:rPr>
        <w:t>Management’s Discussion and Analysis of Financial Condition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Results of Operations, </w:t>
      </w:r>
      <w:r>
        <w:rPr>
          <w:rFonts w:ascii="Times New Roman" w:cs="Times New Roman" w:eastAsia="Times New Roman" w:hAnsi="Times New Roman"/>
          <w:sz w:val="16"/>
          <w:szCs w:val="16"/>
          <w:color w:val="auto"/>
        </w:rPr>
        <w:t>in our Annual Report on Form 10-K for the year ended December 31, 2023.</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3. </w:t>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have been no material changes to our market risks from those discussed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4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color w:val="auto"/>
        </w:rPr>
        <w:t xml:space="preserve">Item 4. </w:t>
      </w:r>
      <w:r>
        <w:rPr>
          <w:rFonts w:ascii="Times New Roman" w:cs="Times New Roman" w:eastAsia="Times New Roman" w:hAnsi="Times New Roman"/>
          <w:sz w:val="16"/>
          <w:szCs w:val="16"/>
          <w:b w:val="1"/>
          <w:bCs w:val="1"/>
          <w:i w:val="1"/>
          <w:iCs w:val="1"/>
          <w:color w:val="auto"/>
        </w:rPr>
        <w:t>Controls and Procedures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189" w:lineRule="exact"/>
        <w:rPr>
          <w:sz w:val="20"/>
          <w:szCs w:val="20"/>
          <w:color w:val="auto"/>
        </w:rPr>
      </w:pPr>
    </w:p>
    <w:p>
      <w:pPr>
        <w:ind w:right="60" w:firstLine="191"/>
        <w:spacing w:after="0" w:line="307" w:lineRule="auto"/>
        <w:rPr>
          <w:sz w:val="20"/>
          <w:szCs w:val="20"/>
          <w:color w:val="auto"/>
        </w:rPr>
      </w:pPr>
      <w:r>
        <w:rPr>
          <w:rFonts w:ascii="Times New Roman" w:cs="Times New Roman" w:eastAsia="Times New Roman" w:hAnsi="Times New Roman"/>
          <w:sz w:val="14"/>
          <w:szCs w:val="14"/>
          <w:color w:val="auto"/>
        </w:rPr>
        <w:t>Centrus maintains disclosure controls and procedures that are designed to ensure that information required to be disclosed by Centrus in reports it files or submits under the Exchange Act is recorded, processed, summarized and reported in the time periods specified in the SEC’s rules and forms and that such information is accumulated and communicated to management, including the Chief Executive Officer and the Chief Financial Officer, as appropriate to allow for timely decisions regarding required disclosures.</w:t>
      </w:r>
    </w:p>
    <w:p>
      <w:pPr>
        <w:spacing w:after="0" w:line="136"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As of September 30, 2024, the end of the period covered by this Quarterly Report on Form 10-Q, our management performed an evaluation, under the supervision and with the participation of the Chief Executive Officer and the Chief Financial Officer, of the effectiveness of our disclosure controls and procedures (as defined in Rule 13a-15(e) under the Exchange Act). Based on this evaluation, the Chief Executive Officer and the Chief Financial Officer concluded that the Company’s disclosure controls and procedures were effective.</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200" w:lineRule="exact"/>
        <w:rPr>
          <w:sz w:val="20"/>
          <w:szCs w:val="20"/>
          <w:color w:val="auto"/>
        </w:rPr>
      </w:pPr>
    </w:p>
    <w:p>
      <w:pPr>
        <w:ind w:right="160" w:firstLine="191"/>
        <w:spacing w:after="0" w:line="273"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755" w:right="499" w:bottom="1440" w:gutter="0" w:footer="0" w:header="0"/>
        </w:sectPr>
      </w:pPr>
    </w:p>
    <w:bookmarkStart w:id="54" w:name="page55"/>
    <w:bookmarkEnd w:id="54"/>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 </w:t>
      </w:r>
      <w:r>
        <w:rPr>
          <w:rFonts w:ascii="Times New Roman" w:cs="Times New Roman" w:eastAsia="Times New Roman" w:hAnsi="Times New Roman"/>
          <w:sz w:val="16"/>
          <w:szCs w:val="16"/>
          <w:b w:val="1"/>
          <w:bCs w:val="1"/>
          <w:i w:val="1"/>
          <w:iCs w:val="1"/>
          <w:color w:val="auto"/>
        </w:rPr>
        <w:t>Legal Proceedings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Refer to Note 12</w:t>
      </w:r>
      <w:r>
        <w:rPr>
          <w:rFonts w:ascii="Times New Roman" w:cs="Times New Roman" w:eastAsia="Times New Roman" w:hAnsi="Times New Roman"/>
          <w:sz w:val="16"/>
          <w:szCs w:val="16"/>
          <w:i w:val="1"/>
          <w:iCs w:val="1"/>
          <w:color w:val="auto"/>
        </w:rPr>
        <w:t>, Commitments and Contingencies — Legal Matters,</w:t>
      </w:r>
      <w:r>
        <w:rPr>
          <w:rFonts w:ascii="Times New Roman" w:cs="Times New Roman" w:eastAsia="Times New Roman" w:hAnsi="Times New Roman"/>
          <w:sz w:val="16"/>
          <w:szCs w:val="16"/>
          <w:color w:val="auto"/>
        </w:rPr>
        <w:t xml:space="preserve"> of our Consolidated Financial Statements in Part I of this Quarterly Report on Form 10-Q.</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1A. </w:t>
      </w:r>
      <w:r>
        <w:rPr>
          <w:rFonts w:ascii="Times New Roman" w:cs="Times New Roman" w:eastAsia="Times New Roman" w:hAnsi="Times New Roman"/>
          <w:sz w:val="16"/>
          <w:szCs w:val="16"/>
          <w:b w:val="1"/>
          <w:bCs w:val="1"/>
          <w:i w:val="1"/>
          <w:iCs w:val="1"/>
          <w:color w:val="auto"/>
        </w:rPr>
        <w:t>Risk Factors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 xml:space="preserve">There have been no material changes to the Risk Factors described in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our Annual Report on Form 10-K for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5. </w:t>
      </w:r>
      <w:r>
        <w:rPr>
          <w:rFonts w:ascii="Times New Roman" w:cs="Times New Roman" w:eastAsia="Times New Roman" w:hAnsi="Times New Roman"/>
          <w:sz w:val="16"/>
          <w:szCs w:val="16"/>
          <w:b w:val="1"/>
          <w:bCs w:val="1"/>
          <w:i w:val="1"/>
          <w:iCs w:val="1"/>
          <w:color w:val="auto"/>
        </w:rPr>
        <w:t>Other Information</w:t>
      </w:r>
    </w:p>
    <w:p>
      <w:pPr>
        <w:spacing w:after="0" w:line="200" w:lineRule="exact"/>
        <w:rPr>
          <w:sz w:val="20"/>
          <w:szCs w:val="20"/>
          <w:color w:val="auto"/>
        </w:rPr>
      </w:pPr>
    </w:p>
    <w:p>
      <w:pPr>
        <w:ind w:right="180" w:firstLine="191"/>
        <w:spacing w:after="0" w:line="259" w:lineRule="auto"/>
        <w:rPr>
          <w:sz w:val="20"/>
          <w:szCs w:val="20"/>
          <w:color w:val="auto"/>
        </w:rPr>
      </w:pPr>
      <w:r>
        <w:rPr>
          <w:rFonts w:ascii="Times New Roman" w:cs="Times New Roman" w:eastAsia="Times New Roman" w:hAnsi="Times New Roman"/>
          <w:sz w:val="16"/>
          <w:szCs w:val="16"/>
          <w:color w:val="auto"/>
        </w:rPr>
        <w:t>None of our directors or executive officers adopted or terminated a Rule 10b5-1 trading arrangement or a non-Rule 10b5-1 trading arrangement (as defined in Item 408(c) of Regulation S-K) during the period covered by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946"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color w:val="auto"/>
        </w:rPr>
        <w:t xml:space="preserve">Item 6. </w:t>
      </w:r>
      <w:r>
        <w:rPr>
          <w:rFonts w:ascii="Times New Roman" w:cs="Times New Roman" w:eastAsia="Times New Roman" w:hAnsi="Times New Roman"/>
          <w:sz w:val="16"/>
          <w:szCs w:val="16"/>
          <w:b w:val="1"/>
          <w:bCs w:val="1"/>
          <w:i w:val="1"/>
          <w:iCs w:val="1"/>
          <w:color w:val="auto"/>
        </w:rPr>
        <w:t>Exhibits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Exhibit No.</w:t>
            </w:r>
          </w:p>
        </w:tc>
        <w:tc>
          <w:tcPr>
            <w:tcW w:w="84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60"/>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360" w:type="dxa"/>
            <w:vAlign w:val="bottom"/>
          </w:tcPr>
          <w:p>
            <w:pPr>
              <w:spacing w:after="0"/>
              <w:rPr>
                <w:sz w:val="13"/>
                <w:szCs w:val="13"/>
                <w:color w:val="auto"/>
              </w:rPr>
            </w:pPr>
          </w:p>
        </w:tc>
        <w:tc>
          <w:tcPr>
            <w:tcW w:w="8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Modification 11 to Agreement, dated August 14, 2024, by and between American Centrifuge Operating, LLC and the U.S. Department of Energy. (a)</w:t>
            </w: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360" w:type="dxa"/>
            <w:vAlign w:val="bottom"/>
          </w:tcPr>
          <w:p>
            <w:pPr>
              <w:spacing w:after="0"/>
              <w:rPr>
                <w:sz w:val="23"/>
                <w:szCs w:val="23"/>
                <w:color w:val="auto"/>
              </w:rPr>
            </w:pPr>
          </w:p>
        </w:tc>
        <w:tc>
          <w:tcPr>
            <w:tcW w:w="48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pursuant to Rule 13a-14(a)/15d-14(a). (a)</w:t>
            </w:r>
          </w:p>
        </w:tc>
        <w:tc>
          <w:tcPr>
            <w:tcW w:w="3600" w:type="dxa"/>
            <w:vAlign w:val="bottom"/>
            <w:gridSpan w:val="2"/>
          </w:tcPr>
          <w:p>
            <w:pPr>
              <w:spacing w:after="0"/>
              <w:rPr>
                <w:sz w:val="23"/>
                <w:szCs w:val="23"/>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360" w:type="dxa"/>
            <w:vAlign w:val="bottom"/>
          </w:tcPr>
          <w:p>
            <w:pPr>
              <w:spacing w:after="0"/>
              <w:rPr>
                <w:sz w:val="23"/>
                <w:szCs w:val="23"/>
                <w:color w:val="auto"/>
              </w:rPr>
            </w:pPr>
          </w:p>
        </w:tc>
        <w:tc>
          <w:tcPr>
            <w:tcW w:w="4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pursuant to Rule 13a-14(a)/15d-14(a). (a)</w:t>
            </w:r>
          </w:p>
        </w:tc>
        <w:tc>
          <w:tcPr>
            <w:tcW w:w="3640" w:type="dxa"/>
            <w:vAlign w:val="bottom"/>
            <w:gridSpan w:val="3"/>
          </w:tcPr>
          <w:p>
            <w:pPr>
              <w:spacing w:after="0"/>
              <w:rPr>
                <w:sz w:val="23"/>
                <w:szCs w:val="23"/>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360" w:type="dxa"/>
            <w:vAlign w:val="bottom"/>
          </w:tcPr>
          <w:p>
            <w:pPr>
              <w:spacing w:after="0"/>
              <w:rPr>
                <w:sz w:val="23"/>
                <w:szCs w:val="23"/>
                <w:color w:val="auto"/>
              </w:rPr>
            </w:pPr>
          </w:p>
        </w:tc>
        <w:tc>
          <w:tcPr>
            <w:tcW w:w="84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and Chief Financial Officer pursuant to 18 U.S.C. Section 1350. (a)</w:t>
            </w: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23" w:lineRule="exact"/>
        <w:rPr>
          <w:sz w:val="20"/>
          <w:szCs w:val="20"/>
          <w:color w:val="auto"/>
        </w:rPr>
      </w:pPr>
    </w:p>
    <w:p>
      <w:pPr>
        <w:ind w:left="1320" w:hanging="769"/>
        <w:spacing w:after="0" w:line="271" w:lineRule="auto"/>
        <w:tabs>
          <w:tab w:leader="none" w:pos="1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Unaudited Consolidated Financial Statements from the Quarterly Report on Form 10-Q for the quarter ended September 30, 2024, filed in interactive data file (formatted as Inline XBRL).</w:t>
      </w:r>
    </w:p>
    <w:p>
      <w:pPr>
        <w:spacing w:after="0" w:line="82" w:lineRule="exact"/>
        <w:rPr>
          <w:sz w:val="20"/>
          <w:szCs w:val="20"/>
          <w:color w:val="auto"/>
        </w:rPr>
      </w:pPr>
    </w:p>
    <w:p>
      <w:pPr>
        <w:ind w:left="1320" w:hanging="769"/>
        <w:spacing w:after="0"/>
        <w:tabs>
          <w:tab w:leader="none" w:pos="132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52"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1031" w:right="559" w:bottom="1440" w:gutter="0" w:footer="0" w:header="0"/>
        </w:sectPr>
      </w:pPr>
    </w:p>
    <w:bookmarkStart w:id="56" w:name="page57"/>
    <w:bookmarkEnd w:id="56"/>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firstLine="191"/>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b w:val="1"/>
          <w:bCs w:val="1"/>
          <w:color w:val="auto"/>
        </w:rPr>
        <w:t>Centrus Energy Corp.</w:t>
      </w:r>
    </w:p>
    <w:p>
      <w:pPr>
        <w:spacing w:after="0" w:line="195" w:lineRule="exact"/>
        <w:rPr>
          <w:sz w:val="20"/>
          <w:szCs w:val="20"/>
          <w:color w:val="auto"/>
        </w:rPr>
      </w:pPr>
    </w:p>
    <w:p>
      <w:pPr>
        <w:ind w:left="220"/>
        <w:spacing w:after="0"/>
        <w:tabs>
          <w:tab w:leader="none" w:pos="5680" w:val="left"/>
        </w:tabs>
        <w:rPr>
          <w:sz w:val="20"/>
          <w:szCs w:val="20"/>
          <w:color w:val="auto"/>
        </w:rPr>
      </w:pPr>
      <w:r>
        <w:rPr>
          <w:rFonts w:ascii="Times New Roman" w:cs="Times New Roman" w:eastAsia="Times New Roman" w:hAnsi="Times New Roman"/>
          <w:sz w:val="16"/>
          <w:szCs w:val="16"/>
          <w:color w:val="auto"/>
        </w:rPr>
        <w:t>October 29, 2024</w:t>
      </w:r>
      <w:r>
        <w:rPr>
          <w:sz w:val="20"/>
          <w:szCs w:val="20"/>
          <w:color w:val="auto"/>
        </w:rPr>
        <w:tab/>
      </w:r>
      <w:r>
        <w:rPr>
          <w:rFonts w:ascii="Times New Roman" w:cs="Times New Roman" w:eastAsia="Times New Roman" w:hAnsi="Times New Roman"/>
          <w:sz w:val="14"/>
          <w:szCs w:val="14"/>
          <w:color w:val="auto"/>
        </w:rPr>
        <w:t>/s/ Kevin J. Harrill</w:t>
      </w:r>
    </w:p>
    <w:p>
      <w:pPr>
        <w:spacing w:after="0" w:line="22"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5"/>
          <w:szCs w:val="15"/>
          <w:b w:val="1"/>
          <w:bCs w:val="1"/>
          <w:color w:val="auto"/>
        </w:rPr>
        <w:t>Kevin J. Harrill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-106680</wp:posOffset>
            </wp:positionV>
            <wp:extent cx="404241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4"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5"/>
          <w:szCs w:val="15"/>
          <w:color w:val="auto"/>
        </w:rPr>
        <w:t>Senior Vice President, Chief Financial Officer, and Treasurer</w:t>
      </w:r>
    </w:p>
    <w:p>
      <w:pPr>
        <w:spacing w:after="0" w:line="18"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5"/>
          <w:szCs w:val="15"/>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480"/>
          </w:cols>
          <w:pgMar w:left="300" w:top="755" w:right="1119" w:bottom="1440"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Amir V. Vexler, certify that:</w:t>
      </w:r>
    </w:p>
    <w:p>
      <w:pPr>
        <w:spacing w:after="0" w:line="232" w:lineRule="exact"/>
        <w:rPr>
          <w:sz w:val="20"/>
          <w:szCs w:val="20"/>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Centrus Energy Corp.;</w:t>
      </w:r>
    </w:p>
    <w:p>
      <w:pPr>
        <w:spacing w:after="0" w:line="167"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4"/>
          <w:szCs w:val="14"/>
          <w:color w:val="auto"/>
        </w:rPr>
      </w:pPr>
    </w:p>
    <w:p>
      <w:pPr>
        <w:ind w:left="260" w:hanging="255"/>
        <w:spacing w:after="0" w:line="334" w:lineRule="auto"/>
        <w:tabs>
          <w:tab w:leader="none" w:pos="25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October 29, 2024</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Amir V. Vexler</w:t>
            </w:r>
          </w:p>
        </w:tc>
      </w:tr>
      <w:tr>
        <w:trPr>
          <w:trHeight w:val="167"/>
        </w:trPr>
        <w:tc>
          <w:tcPr>
            <w:tcW w:w="436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Amir V. Vexler</w:t>
            </w:r>
          </w:p>
        </w:tc>
      </w:tr>
      <w:tr>
        <w:trPr>
          <w:trHeight w:val="184"/>
        </w:trPr>
        <w:tc>
          <w:tcPr>
            <w:tcW w:w="436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ectPr>
          <w:pgSz w:w="11900" w:h="16838" w:orient="portrait"/>
          <w:cols w:equalWidth="0" w:num="1">
            <w:col w:w="11280"/>
          </w:cols>
          <w:pgMar w:left="300" w:top="738" w:right="3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Kevin J. Harrill, certify that:</w:t>
      </w:r>
    </w:p>
    <w:p>
      <w:pPr>
        <w:spacing w:after="0" w:line="232" w:lineRule="exact"/>
        <w:rPr>
          <w:sz w:val="20"/>
          <w:szCs w:val="20"/>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Centrus Energy Corp.;</w:t>
      </w:r>
    </w:p>
    <w:p>
      <w:pPr>
        <w:spacing w:after="0" w:line="167"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4"/>
          <w:szCs w:val="14"/>
          <w:color w:val="auto"/>
        </w:rPr>
      </w:pPr>
    </w:p>
    <w:p>
      <w:pPr>
        <w:ind w:left="260" w:hanging="255"/>
        <w:spacing w:after="0" w:line="334" w:lineRule="auto"/>
        <w:tabs>
          <w:tab w:leader="none" w:pos="25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October 29, 2024</w:t>
            </w:r>
          </w:p>
        </w:tc>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Kevin J. Harrill</w:t>
            </w:r>
          </w:p>
        </w:tc>
      </w:tr>
      <w:tr>
        <w:trPr>
          <w:trHeight w:val="167"/>
        </w:trPr>
        <w:tc>
          <w:tcPr>
            <w:tcW w:w="4360" w:type="dxa"/>
            <w:vAlign w:val="bottom"/>
          </w:tcPr>
          <w:p>
            <w:pPr>
              <w:spacing w:after="0"/>
              <w:rPr>
                <w:sz w:val="14"/>
                <w:szCs w:val="1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Kevin J. Harrill</w:t>
            </w:r>
          </w:p>
        </w:tc>
      </w:tr>
      <w:tr>
        <w:trPr>
          <w:trHeight w:val="184"/>
        </w:trPr>
        <w:tc>
          <w:tcPr>
            <w:tcW w:w="4360" w:type="dxa"/>
            <w:vAlign w:val="bottom"/>
          </w:tcPr>
          <w:p>
            <w:pPr>
              <w:spacing w:after="0"/>
              <w:rPr>
                <w:sz w:val="16"/>
                <w:szCs w:val="16"/>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tc>
      </w:tr>
    </w:tbl>
    <w:p>
      <w:pPr>
        <w:sectPr>
          <w:pgSz w:w="11900" w:h="16838" w:orient="portrait"/>
          <w:cols w:equalWidth="0" w:num="1">
            <w:col w:w="11280"/>
          </w:cols>
          <w:pgMar w:left="300" w:top="738" w:right="31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CERTIFICATION OF CEO AND CFO PURSUANT TO</w:t>
      </w:r>
    </w:p>
    <w:p>
      <w:pPr>
        <w:spacing w:after="0" w:line="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221" w:lineRule="exact"/>
        <w:rPr>
          <w:sz w:val="20"/>
          <w:szCs w:val="20"/>
          <w:color w:val="auto"/>
        </w:rPr>
      </w:pPr>
    </w:p>
    <w:p>
      <w:pPr>
        <w:ind w:right="20" w:firstLine="255"/>
        <w:spacing w:after="0" w:line="309" w:lineRule="auto"/>
        <w:rPr>
          <w:sz w:val="20"/>
          <w:szCs w:val="20"/>
          <w:color w:val="auto"/>
        </w:rPr>
      </w:pPr>
      <w:r>
        <w:rPr>
          <w:rFonts w:ascii="Times New Roman" w:cs="Times New Roman" w:eastAsia="Times New Roman" w:hAnsi="Times New Roman"/>
          <w:sz w:val="14"/>
          <w:szCs w:val="14"/>
          <w:color w:val="auto"/>
        </w:rPr>
        <w:t>In connection with the quarterly report on Form 10-Q of Centrus Energy Corp. for the period ended September 30, 2024, as filed with the Securities and Exchange Commission on the date hereof (the “Report”), pursuant to 18 U.S.C. § 1350, Amir V. Vexler, President and Chief Executive Officer, and Kevin J. Harrill, Senior Vice President, Chief Financial Officer, and Treasurer, each hereby certifies, that, to his knowledge:</w:t>
      </w:r>
    </w:p>
    <w:p>
      <w:pPr>
        <w:spacing w:after="0" w:line="163" w:lineRule="exact"/>
        <w:rPr>
          <w:sz w:val="20"/>
          <w:szCs w:val="20"/>
          <w:color w:val="auto"/>
        </w:rPr>
      </w:pPr>
    </w:p>
    <w:p>
      <w:pPr>
        <w:ind w:left="800" w:hanging="413"/>
        <w:spacing w:after="0"/>
        <w:tabs>
          <w:tab w:leader="none" w:pos="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4"/>
          <w:szCs w:val="14"/>
          <w:color w:val="auto"/>
        </w:rPr>
      </w:pPr>
    </w:p>
    <w:p>
      <w:pPr>
        <w:ind w:left="800" w:hanging="413"/>
        <w:spacing w:after="0"/>
        <w:tabs>
          <w:tab w:leader="none" w:pos="8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Centrus Energy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October 29, 2024</w:t>
            </w:r>
          </w:p>
        </w:tc>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Amir V. Vexler</w:t>
            </w:r>
          </w:p>
        </w:tc>
      </w:tr>
      <w:tr>
        <w:trPr>
          <w:trHeight w:val="167"/>
        </w:trPr>
        <w:tc>
          <w:tcPr>
            <w:tcW w:w="4240" w:type="dxa"/>
            <w:vAlign w:val="bottom"/>
          </w:tcPr>
          <w:p>
            <w:pPr>
              <w:spacing w:after="0"/>
              <w:rPr>
                <w:sz w:val="14"/>
                <w:szCs w:val="14"/>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Amir V. Vexler</w:t>
            </w:r>
          </w:p>
        </w:tc>
      </w:tr>
      <w:tr>
        <w:trPr>
          <w:trHeight w:val="184"/>
        </w:trPr>
        <w:tc>
          <w:tcPr>
            <w:tcW w:w="4240" w:type="dxa"/>
            <w:vAlign w:val="bottom"/>
          </w:tcPr>
          <w:p>
            <w:pPr>
              <w:spacing w:after="0"/>
              <w:rPr>
                <w:sz w:val="16"/>
                <w:szCs w:val="16"/>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72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October 29, 2024</w:t>
            </w:r>
          </w:p>
        </w:tc>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Kevin J. Harrill</w:t>
            </w:r>
          </w:p>
        </w:tc>
      </w:tr>
      <w:tr>
        <w:trPr>
          <w:trHeight w:val="167"/>
        </w:trPr>
        <w:tc>
          <w:tcPr>
            <w:tcW w:w="4240" w:type="dxa"/>
            <w:vAlign w:val="bottom"/>
          </w:tcPr>
          <w:p>
            <w:pPr>
              <w:spacing w:after="0"/>
              <w:rPr>
                <w:sz w:val="14"/>
                <w:szCs w:val="14"/>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Kevin J. Harrill</w:t>
            </w:r>
          </w:p>
        </w:tc>
      </w:tr>
      <w:tr>
        <w:trPr>
          <w:trHeight w:val="184"/>
        </w:trPr>
        <w:tc>
          <w:tcPr>
            <w:tcW w:w="4240" w:type="dxa"/>
            <w:vAlign w:val="bottom"/>
          </w:tcPr>
          <w:p>
            <w:pPr>
              <w:spacing w:after="0"/>
              <w:rPr>
                <w:sz w:val="16"/>
                <w:szCs w:val="16"/>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tc>
      </w:tr>
    </w:tbl>
    <w:p>
      <w:pPr>
        <w:spacing w:after="0" w:line="1" w:lineRule="exact"/>
        <w:rPr>
          <w:sz w:val="20"/>
          <w:szCs w:val="20"/>
          <w:color w:val="auto"/>
        </w:rPr>
      </w:pPr>
    </w:p>
    <w:sectPr>
      <w:pgSz w:w="11900" w:h="16838" w:orient="portrait"/>
      <w:cols w:equalWidth="0" w:num="1">
        <w:col w:w="11280"/>
      </w:cols>
      <w:pgMar w:left="300" w:top="73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2"/>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decimal"/>
      <w:start w:val="1"/>
    </w:lvl>
    <w:lvl w:ilvl="1">
      <w:lvlJc w:val="left"/>
      <w:lvlText w:val="(%2)"/>
      <w:numFmt w:val="lowerLetter"/>
      <w:start w:val="1"/>
    </w:lvl>
  </w:abstractNum>
  <w:abstractNum w:abstractNumId="15">
    <w:nsid w:val="628C895D"/>
    <w:multiLevelType w:val="hybridMultilevel"/>
    <w:lvl w:ilvl="0">
      <w:lvlJc w:val="left"/>
      <w:lvlText w:val="%1."/>
      <w:numFmt w:val="decimal"/>
      <w:start w:val="8"/>
    </w:lvl>
    <w:lvl w:ilvl="1">
      <w:lvlJc w:val="left"/>
      <w:lvlText w:val="%2"/>
      <w:numFmt w:val="lowerLetter"/>
      <w:start w:val="1"/>
    </w:lvl>
  </w:abstractNum>
  <w:abstractNum w:abstractNumId="16">
    <w:nsid w:val="333AB105"/>
    <w:multiLevelType w:val="hybridMultilevel"/>
    <w:lvl w:ilvl="0">
      <w:lvlJc w:val="left"/>
      <w:lvlText w:val="%1."/>
      <w:numFmt w:val="decimal"/>
      <w:start w:val="12"/>
    </w:lvl>
  </w:abstractNum>
  <w:abstractNum w:abstractNumId="17">
    <w:nsid w:val="721DA317"/>
    <w:multiLevelType w:val="hybridMultilevel"/>
    <w:lvl w:ilvl="0">
      <w:lvlJc w:val="left"/>
      <w:lvlText w:val="1"/>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1"/>
      <w:numFmt w:val="lowerLetter"/>
      <w:start w:val="1"/>
    </w:lvl>
    <w:lvl w:ilvl="1">
      <w:lvlJc w:val="left"/>
      <w:lvlText w:val="%2"/>
      <w:numFmt w:val="decimal"/>
      <w:start w:val="104"/>
    </w:lvl>
  </w:abstractNum>
  <w:abstractNum w:abstractNumId="22">
    <w:nsid w:val="8EDBDAB"/>
    <w:multiLevelType w:val="hybridMultilevel"/>
    <w:lvl w:ilvl="0">
      <w:lvlJc w:val="left"/>
      <w:lvlText w:val="(%1)"/>
      <w:numFmt w:val="lowerLetter"/>
      <w:start w:val="1"/>
    </w:lvl>
    <w:lvl w:ilvl="1">
      <w:lvlJc w:val="left"/>
      <w:lvlText w:val="%2"/>
      <w:numFmt w:val="decimal"/>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2024-10-29T16:07:35Z</dcterms:created>
  <dcterms:modified xsi:type="dcterms:W3CDTF">2024-10-29T16:07:35Z</dcterms:modified>
</cp:coreProperties>
</file>