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1534160</wp:posOffset>
            </wp:positionH>
            <wp:positionV relativeFrom="page">
              <wp:posOffset>621030</wp:posOffset>
            </wp:positionV>
            <wp:extent cx="4480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80560" cy="6985"/>
                    </a:xfrm>
                    <a:prstGeom prst="rect">
                      <a:avLst/>
                    </a:prstGeom>
                    <a:noFill/>
                  </pic:spPr>
                </pic:pic>
              </a:graphicData>
            </a:graphic>
          </wp:anchor>
        </w:drawing>
        <w:drawing>
          <wp:anchor simplePos="0" relativeHeight="251657728" behindDoc="1" locked="0" layoutInCell="0" allowOverlap="1">
            <wp:simplePos x="0" y="0"/>
            <wp:positionH relativeFrom="page">
              <wp:posOffset>1534160</wp:posOffset>
            </wp:positionH>
            <wp:positionV relativeFrom="page">
              <wp:posOffset>587375</wp:posOffset>
            </wp:positionV>
            <wp:extent cx="448056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0560" cy="1333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3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C0C0C0"/>
        </w:rPr>
        <w:t>_________________</w:t>
      </w:r>
    </w:p>
    <w:p>
      <w:pPr>
        <w:spacing w:after="0" w:line="18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Date of Report (Date of earliest event reported): October 29, 2026</w:t>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8"/>
          <w:szCs w:val="28"/>
          <w:b w:val="1"/>
          <w:bCs w:val="1"/>
          <w:color w:val="auto"/>
        </w:rPr>
        <w:t>Centrus Energy Corp.</w:t>
      </w:r>
    </w:p>
    <w:p>
      <w:pPr>
        <w:spacing w:after="0" w:line="6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060"/>
          </w:cols>
          <w:pgMar w:left="300" w:top="1214" w:right="539" w:bottom="1440" w:gutter="0" w:footer="0" w:header="0"/>
        </w:sectPr>
      </w:pPr>
    </w:p>
    <w:p>
      <w:pPr>
        <w:spacing w:after="0" w:line="316"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1-14287</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52-2107911</w:t>
      </w:r>
    </w:p>
    <w:p>
      <w:pPr>
        <w:spacing w:after="0" w:line="41" w:lineRule="exact"/>
        <w:rPr>
          <w:sz w:val="24"/>
          <w:szCs w:val="24"/>
          <w:color w:val="auto"/>
        </w:rPr>
      </w:pPr>
    </w:p>
    <w:p>
      <w:pPr>
        <w:sectPr>
          <w:pgSz w:w="11900" w:h="16838" w:orient="portrait"/>
          <w:cols w:equalWidth="0" w:num="3">
            <w:col w:w="4740" w:space="720"/>
            <w:col w:w="1640" w:space="720"/>
            <w:col w:w="3240"/>
          </w:cols>
          <w:pgMar w:left="300" w:top="1214" w:right="5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480" w:space="480"/>
            <w:col w:w="1540" w:space="640"/>
            <w:col w:w="3920"/>
          </w:cols>
          <w:pgMar w:left="300" w:top="1214" w:right="539" w:bottom="1440" w:gutter="0" w:footer="0" w:header="0"/>
          <w:type w:val="continuous"/>
        </w:sectPr>
      </w:pPr>
    </w:p>
    <w:p>
      <w:pPr>
        <w:spacing w:after="0" w:line="7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6901 Rockledge Drive, Suite 800</w:t>
      </w:r>
    </w:p>
    <w:p>
      <w:pPr>
        <w:spacing w:after="0" w:line="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Bethesda, MD 20817</w:t>
      </w:r>
    </w:p>
    <w:p>
      <w:pPr>
        <w:spacing w:after="0" w:line="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 564-3200</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3" w:lineRule="exact"/>
        <w:rPr>
          <w:rFonts w:ascii="MS PGothic" w:cs="MS PGothic" w:eastAsia="MS PGothic" w:hAnsi="MS PGothic"/>
          <w:sz w:val="14"/>
          <w:szCs w:val="14"/>
          <w:color w:val="auto"/>
        </w:rPr>
      </w:pPr>
    </w:p>
    <w:p>
      <w:pPr>
        <w:ind w:left="2600" w:hanging="332"/>
        <w:spacing w:after="0"/>
        <w:tabs>
          <w:tab w:leader="none" w:pos="2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62"/>
        </w:trPr>
        <w:tc>
          <w:tcPr>
            <w:tcW w:w="19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1580" w:type="dxa"/>
            <w:vAlign w:val="bottom"/>
          </w:tcPr>
          <w:p>
            <w:pPr>
              <w:spacing w:after="0"/>
              <w:rPr>
                <w:sz w:val="14"/>
                <w:szCs w:val="14"/>
                <w:color w:val="auto"/>
              </w:rPr>
            </w:pPr>
          </w:p>
        </w:tc>
        <w:tc>
          <w:tcPr>
            <w:tcW w:w="2280" w:type="dxa"/>
            <w:vAlign w:val="bottom"/>
            <w:gridSpan w:val="3"/>
          </w:tcPr>
          <w:p>
            <w:pPr>
              <w:jc w:val="center"/>
              <w:ind w:left="33"/>
              <w:spacing w:after="0"/>
              <w:rPr>
                <w:sz w:val="20"/>
                <w:szCs w:val="20"/>
                <w:color w:val="auto"/>
              </w:rPr>
            </w:pPr>
            <w:r>
              <w:rPr>
                <w:rFonts w:ascii="Times New Roman" w:cs="Times New Roman" w:eastAsia="Times New Roman" w:hAnsi="Times New Roman"/>
                <w:sz w:val="13"/>
                <w:szCs w:val="13"/>
                <w:color w:val="auto"/>
              </w:rPr>
              <w:t>Trading Symbol</w:t>
            </w:r>
          </w:p>
        </w:tc>
        <w:tc>
          <w:tcPr>
            <w:tcW w:w="3160" w:type="dxa"/>
            <w:vAlign w:val="bottom"/>
            <w:gridSpan w:val="2"/>
          </w:tcPr>
          <w:p>
            <w:pPr>
              <w:jc w:val="center"/>
              <w:ind w:left="593"/>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0"/>
        </w:trPr>
        <w:tc>
          <w:tcPr>
            <w:tcW w:w="4560" w:type="dxa"/>
            <w:vAlign w:val="bottom"/>
            <w:gridSpan w:val="3"/>
          </w:tcPr>
          <w:p>
            <w:pPr>
              <w:jc w:val="center"/>
              <w:ind w:left="293"/>
              <w:spacing w:after="0"/>
              <w:rPr>
                <w:sz w:val="20"/>
                <w:szCs w:val="20"/>
                <w:color w:val="auto"/>
              </w:rPr>
            </w:pPr>
            <w:r>
              <w:rPr>
                <w:rFonts w:ascii="Times New Roman" w:cs="Times New Roman" w:eastAsia="Times New Roman" w:hAnsi="Times New Roman"/>
                <w:sz w:val="13"/>
                <w:szCs w:val="13"/>
                <w:color w:val="auto"/>
              </w:rPr>
              <w:t>Class A Common Stock, par value $0.10 per share</w:t>
            </w:r>
          </w:p>
        </w:tc>
        <w:tc>
          <w:tcPr>
            <w:tcW w:w="760" w:type="dxa"/>
            <w:vAlign w:val="bottom"/>
          </w:tcPr>
          <w:p>
            <w:pPr>
              <w:spacing w:after="0"/>
              <w:rPr>
                <w:sz w:val="16"/>
                <w:szCs w:val="16"/>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rPr>
              <w:t>LEU</w:t>
            </w:r>
          </w:p>
        </w:tc>
        <w:tc>
          <w:tcPr>
            <w:tcW w:w="6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r>
    </w:tbl>
    <w:p>
      <w:pPr>
        <w:spacing w:after="0" w:line="306" w:lineRule="exact"/>
        <w:rPr>
          <w:sz w:val="24"/>
          <w:szCs w:val="24"/>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694690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215265</wp:posOffset>
            </wp:positionV>
            <wp:extent cx="448056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80560" cy="1333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194945</wp:posOffset>
            </wp:positionV>
            <wp:extent cx="44805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0560" cy="6985"/>
                    </a:xfrm>
                    <a:prstGeom prst="rect">
                      <a:avLst/>
                    </a:prstGeom>
                    <a:noFill/>
                  </pic:spPr>
                </pic:pic>
              </a:graphicData>
            </a:graphic>
          </wp:anchor>
        </w:drawing>
      </w:r>
    </w:p>
    <w:p>
      <w:pPr>
        <w:sectPr>
          <w:pgSz w:w="11900" w:h="16838" w:orient="portrait"/>
          <w:cols w:equalWidth="0" w:num="1">
            <w:col w:w="11060"/>
          </w:cols>
          <w:pgMar w:left="300" w:top="1214"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89"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6"/>
          <w:szCs w:val="16"/>
          <w:color w:val="auto"/>
        </w:rPr>
        <w:t>On October 29, 2026, Centrus Energy Corp. (the “Company”) issued a press release announcing the first new centrifuge to support the Company’s multi-billion-dollar expansion of its uranium enrichment capacity had been completed by and shipped from its Oak Ridge, Tennessee, manufacturing plant.</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 copy of the press release is attached hereto as Exhibit 99.1 and is incorporated herein by reference.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71"/>
        </w:trPr>
        <w:tc>
          <w:tcPr>
            <w:tcW w:w="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99.1</w:t>
            </w:r>
          </w:p>
        </w:tc>
        <w:tc>
          <w:tcPr>
            <w:tcW w:w="780" w:type="dxa"/>
            <w:vAlign w:val="bottom"/>
          </w:tcPr>
          <w:p>
            <w:pPr>
              <w:spacing w:after="0"/>
              <w:rPr>
                <w:sz w:val="14"/>
                <w:szCs w:val="14"/>
                <w:color w:val="auto"/>
              </w:rPr>
            </w:pPr>
          </w:p>
        </w:tc>
        <w:tc>
          <w:tcPr>
            <w:tcW w:w="4800" w:type="dxa"/>
            <w:vAlign w:val="bottom"/>
            <w:gridSpan w:val="3"/>
          </w:tcPr>
          <w:p>
            <w:pPr>
              <w:spacing w:after="0" w:line="171" w:lineRule="exact"/>
              <w:rPr>
                <w:sz w:val="20"/>
                <w:szCs w:val="20"/>
                <w:color w:val="auto"/>
              </w:rPr>
            </w:pPr>
            <w:r>
              <w:rPr>
                <w:rFonts w:ascii="Times New Roman" w:cs="Times New Roman" w:eastAsia="Times New Roman" w:hAnsi="Times New Roman"/>
                <w:sz w:val="15"/>
                <w:szCs w:val="15"/>
                <w:color w:val="0000FF"/>
              </w:rPr>
              <w:t>Press Release dated October 29, 2026</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0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8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auto"/>
                <w:w w:val="98"/>
              </w:rPr>
              <w:t>Cover Page Interactive Data File (embedded within the Inline XBRL Document)</w:t>
            </w:r>
          </w:p>
        </w:tc>
      </w:tr>
    </w:tbl>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7"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Centrus Energy Corp.</w:t>
            </w:r>
          </w:p>
        </w:tc>
      </w:tr>
      <w:tr>
        <w:trPr>
          <w:trHeight w:val="29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October 29, 2026</w:t>
            </w:r>
          </w:p>
        </w:tc>
        <w:tc>
          <w:tcPr>
            <w:tcW w:w="14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By:</w:t>
            </w: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Todd M. Tinelli</w:t>
            </w:r>
          </w:p>
        </w:tc>
      </w:tr>
      <w:tr>
        <w:trPr>
          <w:trHeight w:val="188"/>
        </w:trPr>
        <w:tc>
          <w:tcPr>
            <w:tcW w:w="5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Todd M. Tinelli</w:t>
            </w:r>
          </w:p>
        </w:tc>
      </w:tr>
      <w:tr>
        <w:trPr>
          <w:trHeight w:val="203"/>
        </w:trPr>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Senior Vice President, Chief Financial Officer, and Treasurer</w:t>
            </w:r>
          </w:p>
        </w:tc>
      </w:tr>
    </w:tbl>
    <w:p>
      <w:pPr>
        <w:sectPr>
          <w:pgSz w:w="11900" w:h="16838" w:orient="portrait"/>
          <w:cols w:equalWidth="0" w:num="1">
            <w:col w:w="11000"/>
          </w:cols>
          <w:pgMar w:left="300" w:top="1010" w:right="599" w:bottom="1440"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2026-10-29T07:30:37Z</dcterms:created>
  <dcterms:modified xsi:type="dcterms:W3CDTF">2026-10-29T07:30:37Z</dcterms:modified>
</cp:coreProperties>
</file>